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17F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黑体" w:hAnsi="黑体" w:eastAsia="黑体" w:cs="黑体"/>
          <w:b w:val="0"/>
          <w:bCs w:val="0"/>
          <w:i w:val="0"/>
          <w:iCs w:val="0"/>
          <w:caps w:val="0"/>
          <w:color w:val="000000"/>
          <w:spacing w:val="0"/>
          <w:sz w:val="32"/>
          <w:szCs w:val="32"/>
          <w:lang w:val="en-US" w:eastAsia="zh-CN"/>
        </w:rPr>
      </w:pPr>
      <w:r>
        <w:rPr>
          <w:rFonts w:hint="eastAsia" w:ascii="黑体" w:hAnsi="黑体" w:eastAsia="黑体" w:cs="黑体"/>
          <w:b w:val="0"/>
          <w:bCs w:val="0"/>
          <w:i w:val="0"/>
          <w:iCs w:val="0"/>
          <w:caps w:val="0"/>
          <w:color w:val="000000"/>
          <w:spacing w:val="0"/>
          <w:sz w:val="32"/>
          <w:szCs w:val="32"/>
          <w:lang w:eastAsia="zh-CN"/>
        </w:rPr>
        <w:t>附件</w:t>
      </w:r>
      <w:r>
        <w:rPr>
          <w:rFonts w:hint="eastAsia" w:ascii="黑体" w:hAnsi="黑体" w:eastAsia="黑体" w:cs="黑体"/>
          <w:b w:val="0"/>
          <w:bCs w:val="0"/>
          <w:i w:val="0"/>
          <w:iCs w:val="0"/>
          <w:caps w:val="0"/>
          <w:color w:val="000000"/>
          <w:spacing w:val="0"/>
          <w:sz w:val="32"/>
          <w:szCs w:val="32"/>
          <w:lang w:val="en-US" w:eastAsia="zh-CN"/>
        </w:rPr>
        <w:t>1</w:t>
      </w:r>
    </w:p>
    <w:p w14:paraId="22AA67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default" w:ascii="Times New Roman" w:hAnsi="Times New Roman" w:eastAsia="方正公文小标宋" w:cs="Times New Roman"/>
          <w:b w:val="0"/>
          <w:bCs w:val="0"/>
          <w:i w:val="0"/>
          <w:iCs w:val="0"/>
          <w:caps w:val="0"/>
          <w:color w:val="000000"/>
          <w:spacing w:val="0"/>
          <w:sz w:val="44"/>
          <w:szCs w:val="44"/>
          <w:lang w:eastAsia="zh-CN"/>
        </w:rPr>
      </w:pPr>
      <w:r>
        <w:rPr>
          <w:rFonts w:hint="default" w:ascii="Times New Roman" w:hAnsi="Times New Roman" w:eastAsia="方正公文小标宋" w:cs="Times New Roman"/>
          <w:b w:val="0"/>
          <w:bCs w:val="0"/>
          <w:i w:val="0"/>
          <w:iCs w:val="0"/>
          <w:caps w:val="0"/>
          <w:color w:val="000000"/>
          <w:spacing w:val="0"/>
          <w:sz w:val="44"/>
          <w:szCs w:val="44"/>
          <w:lang w:eastAsia="zh-CN"/>
        </w:rPr>
        <w:t>玉林市中西医结合骨科医院</w:t>
      </w:r>
    </w:p>
    <w:p w14:paraId="674E035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方正公文小标宋" w:cs="Times New Roman"/>
          <w:b w:val="0"/>
          <w:bCs w:val="0"/>
          <w:i w:val="0"/>
          <w:iCs w:val="0"/>
          <w:caps w:val="0"/>
          <w:color w:val="000000"/>
          <w:spacing w:val="0"/>
          <w:sz w:val="44"/>
          <w:szCs w:val="44"/>
          <w:lang w:eastAsia="zh-CN"/>
        </w:rPr>
      </w:pPr>
      <w:r>
        <w:rPr>
          <w:rFonts w:hint="default" w:ascii="Times New Roman" w:hAnsi="Times New Roman" w:eastAsia="方正公文小标宋" w:cs="Times New Roman"/>
          <w:b w:val="0"/>
          <w:bCs w:val="0"/>
          <w:i w:val="0"/>
          <w:iCs w:val="0"/>
          <w:caps w:val="0"/>
          <w:color w:val="000000"/>
          <w:spacing w:val="0"/>
          <w:kern w:val="44"/>
          <w:sz w:val="44"/>
          <w:szCs w:val="44"/>
          <w:lang w:val="en-US" w:eastAsia="zh-CN" w:bidi="ar"/>
        </w:rPr>
        <w:t>污水处理站运维服务</w:t>
      </w:r>
      <w:r>
        <w:rPr>
          <w:rFonts w:hint="default" w:ascii="Times New Roman" w:hAnsi="Times New Roman" w:eastAsia="方正公文小标宋" w:cs="Times New Roman"/>
          <w:b w:val="0"/>
          <w:bCs w:val="0"/>
          <w:i w:val="0"/>
          <w:iCs w:val="0"/>
          <w:caps w:val="0"/>
          <w:color w:val="000000"/>
          <w:spacing w:val="0"/>
          <w:sz w:val="44"/>
          <w:szCs w:val="44"/>
          <w:lang w:eastAsia="zh-CN"/>
        </w:rPr>
        <w:t>采购需求</w:t>
      </w:r>
    </w:p>
    <w:p w14:paraId="426DF14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Times New Roman" w:hAnsi="Times New Roman" w:eastAsia="方正公文小标宋" w:cs="Times New Roman"/>
          <w:b w:val="0"/>
          <w:bCs w:val="0"/>
          <w:i w:val="0"/>
          <w:iCs w:val="0"/>
          <w:caps w:val="0"/>
          <w:color w:val="000000"/>
          <w:spacing w:val="0"/>
          <w:sz w:val="44"/>
          <w:szCs w:val="44"/>
          <w:lang w:val="en-US" w:eastAsia="zh-CN"/>
        </w:rPr>
      </w:pPr>
    </w:p>
    <w:p w14:paraId="793D3684">
      <w:pPr>
        <w:keepNext w:val="0"/>
        <w:keepLines w:val="0"/>
        <w:pageBreakBefore w:val="0"/>
        <w:kinsoku/>
        <w:wordWrap/>
        <w:overflowPunct/>
        <w:topLinePunct w:val="0"/>
        <w:bidi w:val="0"/>
        <w:snapToGrid/>
        <w:spacing w:line="48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lang w:eastAsia="zh-CN"/>
        </w:rPr>
        <w:t>一、</w:t>
      </w:r>
      <w:r>
        <w:rPr>
          <w:rFonts w:hint="default" w:ascii="Times New Roman" w:hAnsi="Times New Roman" w:eastAsia="方正仿宋_GB2312" w:cs="Times New Roman"/>
          <w:sz w:val="32"/>
          <w:szCs w:val="32"/>
        </w:rPr>
        <w:t>污水处理系统简介</w:t>
      </w:r>
    </w:p>
    <w:p w14:paraId="301A3039">
      <w:pPr>
        <w:keepNext w:val="0"/>
        <w:keepLines w:val="0"/>
        <w:pageBreakBefore w:val="0"/>
        <w:numPr>
          <w:ilvl w:val="0"/>
          <w:numId w:val="0"/>
        </w:numPr>
        <w:kinsoku/>
        <w:wordWrap/>
        <w:overflowPunct/>
        <w:topLinePunct w:val="0"/>
        <w:autoSpaceDE/>
        <w:autoSpaceDN/>
        <w:bidi w:val="0"/>
        <w:adjustRightInd/>
        <w:snapToGrid/>
        <w:spacing w:beforeAutospacing="0" w:afterAutospacing="0" w:line="450" w:lineRule="exact"/>
        <w:ind w:firstLine="64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我院院区设一座污水处理站，设计处理能力800m³/d，污水处理池体均为地上式，排放口接入市政污水管网。</w:t>
      </w:r>
      <w:r>
        <w:rPr>
          <w:rFonts w:hint="eastAsia" w:ascii="Times New Roman" w:hAnsi="Times New Roman" w:eastAsia="方正仿宋_GB2312" w:cs="Times New Roman"/>
          <w:color w:val="auto"/>
          <w:sz w:val="32"/>
          <w:szCs w:val="32"/>
          <w:u w:val="none"/>
          <w:lang w:val="en-US" w:eastAsia="zh-CN"/>
        </w:rPr>
        <w:t>我院现有</w:t>
      </w:r>
      <w:r>
        <w:rPr>
          <w:rFonts w:hint="eastAsia" w:ascii="Times New Roman" w:hAnsi="Times New Roman" w:eastAsia="方正仿宋_GB2312" w:cs="Times New Roman"/>
          <w:sz w:val="32"/>
          <w:szCs w:val="32"/>
          <w:lang w:val="en-US" w:eastAsia="zh-CN"/>
        </w:rPr>
        <w:t>在线监测系统一套，用于处理过后的污水根据我院排污许可证的相关要求进行实时监测。污水经处理后达到《医疗机构水污染物排放标准》（GB18466-2005）相关标准。为了保障我院污水处理站正常运行与维护、污水排放达标及在线监测系统正常运行，现对该座污水处理站的运维服务项目进行市场调研。欢迎供货商实地考察并提出其他专业性意</w:t>
      </w:r>
      <w:bookmarkStart w:id="0" w:name="_GoBack"/>
      <w:bookmarkEnd w:id="0"/>
      <w:r>
        <w:rPr>
          <w:rFonts w:hint="eastAsia" w:ascii="Times New Roman" w:hAnsi="Times New Roman" w:eastAsia="方正仿宋_GB2312" w:cs="Times New Roman"/>
          <w:sz w:val="32"/>
          <w:szCs w:val="32"/>
          <w:lang w:val="en-US" w:eastAsia="zh-CN"/>
        </w:rPr>
        <w:t>见。</w:t>
      </w:r>
    </w:p>
    <w:p w14:paraId="0E29798E">
      <w:pPr>
        <w:keepNext w:val="0"/>
        <w:keepLines w:val="0"/>
        <w:pageBreakBefore w:val="0"/>
        <w:numPr>
          <w:ilvl w:val="0"/>
          <w:numId w:val="1"/>
        </w:numPr>
        <w:kinsoku/>
        <w:wordWrap/>
        <w:overflowPunct/>
        <w:topLinePunct w:val="0"/>
        <w:bidi w:val="0"/>
        <w:snapToGrid/>
        <w:spacing w:line="480" w:lineRule="exact"/>
        <w:ind w:firstLine="640" w:firstLineChars="200"/>
        <w:textAlignment w:val="auto"/>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lang w:eastAsia="zh-CN"/>
        </w:rPr>
        <w:t>运维设备清单</w:t>
      </w:r>
    </w:p>
    <w:p w14:paraId="70A3E075">
      <w:pPr>
        <w:keepNext w:val="0"/>
        <w:keepLines w:val="0"/>
        <w:pageBreakBefore w:val="0"/>
        <w:numPr>
          <w:ilvl w:val="0"/>
          <w:numId w:val="0"/>
        </w:numPr>
        <w:kinsoku/>
        <w:wordWrap/>
        <w:overflowPunct/>
        <w:topLinePunct w:val="0"/>
        <w:bidi w:val="0"/>
        <w:snapToGrid/>
        <w:spacing w:line="480" w:lineRule="exact"/>
        <w:textAlignment w:val="auto"/>
        <w:rPr>
          <w:rFonts w:hint="eastAsia" w:ascii="Times New Roman" w:hAnsi="Times New Roman" w:eastAsia="方正仿宋_GB2312" w:cs="Times New Roman"/>
          <w:sz w:val="32"/>
          <w:szCs w:val="32"/>
          <w:lang w:eastAsia="zh-CN"/>
        </w:rPr>
      </w:pPr>
      <w:r>
        <w:rPr>
          <w:rFonts w:hint="eastAsia" w:ascii="Times New Roman" w:hAnsi="Times New Roman" w:eastAsia="方正仿宋_GB2312" w:cs="Times New Roman"/>
          <w:sz w:val="32"/>
          <w:szCs w:val="32"/>
          <w:lang w:eastAsia="zh-CN"/>
        </w:rPr>
        <w:drawing>
          <wp:anchor distT="0" distB="0" distL="114300" distR="114300" simplePos="0" relativeHeight="251662336" behindDoc="1" locked="0" layoutInCell="1" allowOverlap="1">
            <wp:simplePos x="0" y="0"/>
            <wp:positionH relativeFrom="column">
              <wp:posOffset>-617855</wp:posOffset>
            </wp:positionH>
            <wp:positionV relativeFrom="paragraph">
              <wp:posOffset>357505</wp:posOffset>
            </wp:positionV>
            <wp:extent cx="6436360" cy="4472305"/>
            <wp:effectExtent l="0" t="0" r="0" b="0"/>
            <wp:wrapTight wrapText="bothSides">
              <wp:wrapPolygon>
                <wp:start x="0" y="0"/>
                <wp:lineTo x="0" y="21493"/>
                <wp:lineTo x="21532" y="21493"/>
                <wp:lineTo x="21532" y="0"/>
                <wp:lineTo x="0" y="0"/>
              </wp:wrapPolygon>
            </wp:wrapTight>
            <wp:docPr id="5" name="图片 5" descr="e1e2862b669b854f7d6de6030ccb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1e2862b669b854f7d6de6030ccb8e0"/>
                    <pic:cNvPicPr>
                      <a:picLocks noChangeAspect="1"/>
                    </pic:cNvPicPr>
                  </pic:nvPicPr>
                  <pic:blipFill>
                    <a:blip r:embed="rId4"/>
                    <a:stretch>
                      <a:fillRect/>
                    </a:stretch>
                  </pic:blipFill>
                  <pic:spPr>
                    <a:xfrm>
                      <a:off x="0" y="0"/>
                      <a:ext cx="6436360" cy="4472305"/>
                    </a:xfrm>
                    <a:prstGeom prst="rect">
                      <a:avLst/>
                    </a:prstGeom>
                  </pic:spPr>
                </pic:pic>
              </a:graphicData>
            </a:graphic>
          </wp:anchor>
        </w:drawing>
      </w:r>
    </w:p>
    <w:p w14:paraId="06A15DFD">
      <w:pPr>
        <w:keepNext w:val="0"/>
        <w:keepLines w:val="0"/>
        <w:pageBreakBefore w:val="0"/>
        <w:numPr>
          <w:ilvl w:val="0"/>
          <w:numId w:val="0"/>
        </w:numPr>
        <w:kinsoku/>
        <w:wordWrap/>
        <w:overflowPunct/>
        <w:topLinePunct w:val="0"/>
        <w:bidi w:val="0"/>
        <w:snapToGrid/>
        <w:spacing w:line="480" w:lineRule="exact"/>
        <w:textAlignment w:val="auto"/>
        <w:rPr>
          <w:rFonts w:hint="default" w:ascii="Times New Roman" w:hAnsi="Times New Roman" w:eastAsia="方正仿宋_GB2312" w:cs="Times New Roman"/>
          <w:sz w:val="32"/>
          <w:szCs w:val="32"/>
        </w:rPr>
      </w:pPr>
      <w:r>
        <w:rPr>
          <w:rFonts w:hint="eastAsia" w:ascii="Times New Roman" w:hAnsi="Times New Roman" w:eastAsia="方正仿宋_GB2312" w:cs="Times New Roman"/>
          <w:sz w:val="32"/>
          <w:szCs w:val="32"/>
          <w:lang w:eastAsia="zh-CN"/>
        </w:rPr>
        <w:t>三、污水处理标准</w:t>
      </w:r>
      <w:r>
        <w:rPr>
          <w:rFonts w:hint="default" w:ascii="Times New Roman" w:hAnsi="Times New Roman" w:eastAsia="方正仿宋_GB2312" w:cs="Times New Roman"/>
          <w:sz w:val="32"/>
          <w:szCs w:val="32"/>
        </w:rPr>
        <w:t>及</w:t>
      </w:r>
      <w:r>
        <w:rPr>
          <w:rFonts w:hint="eastAsia" w:ascii="Times New Roman" w:hAnsi="Times New Roman" w:eastAsia="方正仿宋_GB2312" w:cs="Times New Roman"/>
          <w:sz w:val="32"/>
          <w:szCs w:val="32"/>
          <w:lang w:eastAsia="zh-CN"/>
        </w:rPr>
        <w:t>相关文件</w:t>
      </w:r>
      <w:r>
        <w:rPr>
          <w:rFonts w:hint="default" w:ascii="Times New Roman" w:hAnsi="Times New Roman" w:eastAsia="方正仿宋_GB2312" w:cs="Times New Roman"/>
          <w:sz w:val="32"/>
          <w:szCs w:val="32"/>
        </w:rPr>
        <w:t>要求</w:t>
      </w:r>
    </w:p>
    <w:p w14:paraId="135B04BF">
      <w:pPr>
        <w:keepNext w:val="0"/>
        <w:keepLines w:val="0"/>
        <w:pageBreakBefore w:val="0"/>
        <w:numPr>
          <w:ilvl w:val="0"/>
          <w:numId w:val="0"/>
        </w:numPr>
        <w:kinsoku/>
        <w:wordWrap/>
        <w:overflowPunct/>
        <w:topLinePunct w:val="0"/>
        <w:bidi w:val="0"/>
        <w:snapToGrid/>
        <w:spacing w:line="480" w:lineRule="exact"/>
        <w:textAlignment w:val="auto"/>
        <w:rPr>
          <w:rFonts w:hint="default" w:ascii="Times New Roman" w:hAnsi="Times New Roman" w:eastAsia="方正仿宋_GB2312" w:cs="Times New Roman"/>
          <w:sz w:val="24"/>
          <w:szCs w:val="24"/>
          <w:lang w:eastAsia="zh-CN"/>
        </w:rPr>
      </w:pPr>
      <w:r>
        <w:rPr>
          <w:rFonts w:hint="eastAsia" w:ascii="Times New Roman" w:hAnsi="Times New Roman" w:eastAsia="方正仿宋_GB2312" w:cs="Times New Roman"/>
          <w:sz w:val="24"/>
          <w:szCs w:val="24"/>
          <w:lang w:eastAsia="zh-CN"/>
        </w:rPr>
        <w:t>（一）</w:t>
      </w:r>
      <w:r>
        <w:rPr>
          <w:rFonts w:hint="default" w:ascii="Times New Roman" w:hAnsi="Times New Roman" w:eastAsia="方正仿宋_GB2312" w:cs="Times New Roman"/>
          <w:sz w:val="24"/>
          <w:szCs w:val="24"/>
        </w:rPr>
        <w:t>《医疗机构排污许可证申请与核发技术规范》（HJ 1105-2020）要求</w:t>
      </w:r>
      <w:r>
        <w:rPr>
          <w:rFonts w:hint="default" w:ascii="Times New Roman" w:hAnsi="Times New Roman" w:eastAsia="方正仿宋_GB2312" w:cs="Times New Roman"/>
          <w:sz w:val="24"/>
          <w:szCs w:val="24"/>
          <w:lang w:eastAsia="zh-CN"/>
        </w:rPr>
        <w:t>如下表：</w:t>
      </w:r>
    </w:p>
    <w:p w14:paraId="353F17D7">
      <w:pPr>
        <w:pStyle w:val="5"/>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sz w:val="24"/>
          <w:szCs w:val="24"/>
          <w:lang w:eastAsia="zh-CN"/>
        </w:rPr>
      </w:pPr>
      <w:r>
        <w:rPr>
          <w:rFonts w:hint="default" w:ascii="Times New Roman" w:hAnsi="Times New Roman" w:eastAsia="方正仿宋_GB2312" w:cs="Times New Roman"/>
          <w:sz w:val="24"/>
          <w:szCs w:val="24"/>
        </w:rPr>
        <w:drawing>
          <wp:anchor distT="0" distB="0" distL="0" distR="0" simplePos="0" relativeHeight="251659264" behindDoc="1" locked="0" layoutInCell="1" allowOverlap="1">
            <wp:simplePos x="0" y="0"/>
            <wp:positionH relativeFrom="column">
              <wp:posOffset>-417830</wp:posOffset>
            </wp:positionH>
            <wp:positionV relativeFrom="paragraph">
              <wp:posOffset>108585</wp:posOffset>
            </wp:positionV>
            <wp:extent cx="6187440" cy="3481070"/>
            <wp:effectExtent l="0" t="0" r="0" b="8890"/>
            <wp:wrapThrough wrapText="bothSides">
              <wp:wrapPolygon>
                <wp:start x="0" y="0"/>
                <wp:lineTo x="0" y="21466"/>
                <wp:lineTo x="21547" y="21466"/>
                <wp:lineTo x="21547" y="0"/>
                <wp:lineTo x="0" y="0"/>
              </wp:wrapPolygon>
            </wp:wrapThrough>
            <wp:docPr id="1026" name="图片 9"/>
            <wp:cNvGraphicFramePr/>
            <a:graphic xmlns:a="http://schemas.openxmlformats.org/drawingml/2006/main">
              <a:graphicData uri="http://schemas.openxmlformats.org/drawingml/2006/picture">
                <pic:pic xmlns:pic="http://schemas.openxmlformats.org/drawingml/2006/picture">
                  <pic:nvPicPr>
                    <pic:cNvPr id="1026" name="图片 9"/>
                    <pic:cNvPicPr/>
                  </pic:nvPicPr>
                  <pic:blipFill>
                    <a:blip r:embed="rId5" cstate="print"/>
                    <a:srcRect/>
                    <a:stretch>
                      <a:fillRect/>
                    </a:stretch>
                  </pic:blipFill>
                  <pic:spPr>
                    <a:xfrm>
                      <a:off x="0" y="0"/>
                      <a:ext cx="6187440" cy="3481070"/>
                    </a:xfrm>
                    <a:prstGeom prst="rect">
                      <a:avLst/>
                    </a:prstGeom>
                    <a:ln>
                      <a:noFill/>
                    </a:ln>
                  </pic:spPr>
                </pic:pic>
              </a:graphicData>
            </a:graphic>
          </wp:anchor>
        </w:drawing>
      </w:r>
      <w:r>
        <w:rPr>
          <w:rFonts w:hint="eastAsia" w:ascii="Times New Roman" w:hAnsi="Times New Roman" w:eastAsia="方正仿宋_GB2312" w:cs="Times New Roman"/>
          <w:sz w:val="24"/>
          <w:szCs w:val="24"/>
          <w:lang w:eastAsia="zh-CN"/>
        </w:rPr>
        <w:t>（二）</w:t>
      </w:r>
      <w:r>
        <w:rPr>
          <w:rFonts w:hint="default" w:ascii="Times New Roman" w:hAnsi="Times New Roman" w:eastAsia="方正仿宋_GB2312" w:cs="Times New Roman"/>
          <w:sz w:val="24"/>
          <w:szCs w:val="24"/>
        </w:rPr>
        <w:t>三级医疗机构最少需要监测的因子和频次</w:t>
      </w:r>
      <w:r>
        <w:rPr>
          <w:rFonts w:hint="default" w:ascii="Times New Roman" w:hAnsi="Times New Roman" w:eastAsia="方正仿宋_GB2312" w:cs="Times New Roman"/>
          <w:sz w:val="24"/>
          <w:szCs w:val="24"/>
          <w:lang w:eastAsia="zh-CN"/>
        </w:rPr>
        <w:t>如下表：</w:t>
      </w:r>
    </w:p>
    <w:p w14:paraId="118970A7">
      <w:pPr>
        <w:pStyle w:val="5"/>
        <w:rPr>
          <w:rFonts w:hint="default"/>
          <w:lang w:val="en-US" w:eastAsia="zh-CN"/>
        </w:rPr>
      </w:pPr>
      <w:r>
        <w:rPr>
          <w:rFonts w:hint="default"/>
          <w:lang w:eastAsia="zh-CN"/>
        </w:rPr>
        <w:drawing>
          <wp:anchor distT="0" distB="0" distL="114300" distR="114300" simplePos="0" relativeHeight="251660288" behindDoc="1" locked="0" layoutInCell="1" allowOverlap="1">
            <wp:simplePos x="0" y="0"/>
            <wp:positionH relativeFrom="column">
              <wp:posOffset>7620</wp:posOffset>
            </wp:positionH>
            <wp:positionV relativeFrom="paragraph">
              <wp:posOffset>106680</wp:posOffset>
            </wp:positionV>
            <wp:extent cx="5020310" cy="4383405"/>
            <wp:effectExtent l="0" t="0" r="8890" b="5715"/>
            <wp:wrapTight wrapText="bothSides">
              <wp:wrapPolygon>
                <wp:start x="0" y="0"/>
                <wp:lineTo x="0" y="21553"/>
                <wp:lineTo x="21507" y="21553"/>
                <wp:lineTo x="21507" y="0"/>
                <wp:lineTo x="0" y="0"/>
              </wp:wrapPolygon>
            </wp:wrapTight>
            <wp:docPr id="1" name="图片 1" descr="175dba513445d0738ebb4f2241392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5dba513445d0738ebb4f2241392c6"/>
                    <pic:cNvPicPr>
                      <a:picLocks noChangeAspect="1"/>
                    </pic:cNvPicPr>
                  </pic:nvPicPr>
                  <pic:blipFill>
                    <a:blip r:embed="rId6"/>
                    <a:stretch>
                      <a:fillRect/>
                    </a:stretch>
                  </pic:blipFill>
                  <pic:spPr>
                    <a:xfrm>
                      <a:off x="0" y="0"/>
                      <a:ext cx="5020310" cy="4383405"/>
                    </a:xfrm>
                    <a:prstGeom prst="rect">
                      <a:avLst/>
                    </a:prstGeom>
                  </pic:spPr>
                </pic:pic>
              </a:graphicData>
            </a:graphic>
          </wp:anchor>
        </w:drawing>
      </w:r>
      <w:r>
        <w:rPr>
          <w:rFonts w:hint="eastAsia"/>
          <w:lang w:val="en-US" w:eastAsia="zh-CN"/>
        </w:rPr>
        <w:t xml:space="preserve"> </w:t>
      </w:r>
    </w:p>
    <w:p w14:paraId="26D4D2D9">
      <w:pPr>
        <w:pStyle w:val="5"/>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lang w:eastAsia="zh-CN"/>
        </w:rPr>
      </w:pPr>
      <w:r>
        <w:rPr>
          <w:rFonts w:hint="eastAsia" w:ascii="Times New Roman" w:hAnsi="Times New Roman" w:eastAsia="方正仿宋_GB2312" w:cs="Times New Roman"/>
          <w:lang w:eastAsia="zh-CN"/>
        </w:rPr>
        <w:t>（三）</w:t>
      </w:r>
      <w:r>
        <w:rPr>
          <w:rFonts w:hint="default" w:ascii="Times New Roman" w:hAnsi="Times New Roman" w:eastAsia="方正仿宋_GB2312" w:cs="Times New Roman"/>
          <w:lang w:eastAsia="zh-CN"/>
        </w:rPr>
        <w:t>《医疗机构水污染物排放标准》（GB18466）表2预处理标准</w:t>
      </w:r>
    </w:p>
    <w:p w14:paraId="0CEDF24F">
      <w:pPr>
        <w:pStyle w:val="5"/>
        <w:keepNext w:val="0"/>
        <w:keepLines w:val="0"/>
        <w:pageBreakBefore w:val="0"/>
        <w:kinsoku/>
        <w:wordWrap/>
        <w:overflowPunct/>
        <w:topLinePunct w:val="0"/>
        <w:bidi w:val="0"/>
        <w:snapToGrid/>
        <w:spacing w:line="480" w:lineRule="exact"/>
        <w:ind w:firstLine="240" w:firstLineChars="100"/>
        <w:textAlignment w:val="auto"/>
        <w:rPr>
          <w:rFonts w:hint="eastAsia" w:ascii="Times New Roman" w:hAnsi="Times New Roman" w:eastAsia="方正仿宋_GB2312" w:cs="Times New Roman"/>
          <w:sz w:val="32"/>
          <w:szCs w:val="32"/>
          <w:lang w:eastAsia="zh-CN"/>
        </w:rPr>
      </w:pPr>
      <w:r>
        <w:rPr>
          <w:rFonts w:hint="default" w:ascii="Times New Roman" w:hAnsi="Times New Roman" w:eastAsia="方正仿宋_GB2312" w:cs="Times New Roman"/>
          <w:lang w:eastAsia="zh-CN"/>
        </w:rPr>
        <w:drawing>
          <wp:anchor distT="0" distB="0" distL="114300" distR="114300" simplePos="0" relativeHeight="251661312" behindDoc="0" locked="0" layoutInCell="1" allowOverlap="1">
            <wp:simplePos x="0" y="0"/>
            <wp:positionH relativeFrom="column">
              <wp:posOffset>-521335</wp:posOffset>
            </wp:positionH>
            <wp:positionV relativeFrom="paragraph">
              <wp:posOffset>144145</wp:posOffset>
            </wp:positionV>
            <wp:extent cx="6290945" cy="7806055"/>
            <wp:effectExtent l="0" t="0" r="3175" b="12065"/>
            <wp:wrapSquare wrapText="bothSides"/>
            <wp:docPr id="2" name="图片 2" descr="22af56c99e1fd47da0668f7c3c2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2af56c99e1fd47da0668f7c3c22682"/>
                    <pic:cNvPicPr>
                      <a:picLocks noChangeAspect="1"/>
                    </pic:cNvPicPr>
                  </pic:nvPicPr>
                  <pic:blipFill>
                    <a:blip r:embed="rId7"/>
                    <a:stretch>
                      <a:fillRect/>
                    </a:stretch>
                  </pic:blipFill>
                  <pic:spPr>
                    <a:xfrm>
                      <a:off x="0" y="0"/>
                      <a:ext cx="6290945" cy="7806055"/>
                    </a:xfrm>
                    <a:prstGeom prst="rect">
                      <a:avLst/>
                    </a:prstGeom>
                  </pic:spPr>
                </pic:pic>
              </a:graphicData>
            </a:graphic>
          </wp:anchor>
        </w:drawing>
      </w:r>
    </w:p>
    <w:p w14:paraId="0FF6EF01">
      <w:pPr>
        <w:pStyle w:val="5"/>
        <w:keepNext w:val="0"/>
        <w:keepLines w:val="0"/>
        <w:pageBreakBefore w:val="0"/>
        <w:kinsoku/>
        <w:wordWrap/>
        <w:overflowPunct/>
        <w:topLinePunct w:val="0"/>
        <w:bidi w:val="0"/>
        <w:snapToGrid/>
        <w:spacing w:line="480" w:lineRule="exact"/>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eastAsia="zh-CN"/>
        </w:rPr>
        <w:t>四、</w:t>
      </w:r>
      <w:r>
        <w:rPr>
          <w:rFonts w:hint="default" w:ascii="Times New Roman" w:hAnsi="Times New Roman" w:eastAsia="方正仿宋_GB2312" w:cs="Times New Roman"/>
          <w:sz w:val="32"/>
          <w:szCs w:val="32"/>
        </w:rPr>
        <w:t>采购运维服务主要内容</w:t>
      </w:r>
    </w:p>
    <w:p w14:paraId="39881F53">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1</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污水处理站检测试剂、设备配置齐全。每个处理站每日取水样二次，上午下午各一次，并检测余氯、测PH值。每月至少检测COD、氨氮数值各一次，在数值异常时，采取针对性措施及时调整污水站运行。</w:t>
      </w:r>
    </w:p>
    <w:p w14:paraId="3D0C5115">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2</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每天巡检设备，确保设备运行状况正常。储备备用设备，在设备损坏时确保当日能排除故障，确保污水处理站能时刻正常运行。定期全面检查、维护保养设备设施，并做好相应台账记录。</w:t>
      </w:r>
    </w:p>
    <w:p w14:paraId="0028A189">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3</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各设备维护、保养（除在线监测设备外的维修、保养、更换等），包括但不限于设备机油添加、设备轮休、设备性能检查评估、设备内积尘清除、除锈防腐。维修、更换损坏设备，及时维修损坏设备，如设备维修后运行状况仍不理想（如出现风机噪音异常、电控器件腐蚀、水泵叶浆气蚀、线路老化等情况），则直接更换新设备，包括新设备的采购、运输、安装，旧设备的拆除，由医院管理人员签字确认。</w:t>
      </w:r>
    </w:p>
    <w:p w14:paraId="028792E3">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4</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确保现有污水处理站各项设施正常运行及处理水质达标、运行正常、记录完善、满足环保及医院上级主管部门的各项要求和标准等，一切医院污水处理运营相关工作。</w:t>
      </w:r>
    </w:p>
    <w:p w14:paraId="706F0251">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5</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建立运营维保管理服务计划，并按环保要求做好所有记录，建档留存，年底统一将所有记录档案资料整理成册并移交医院。</w:t>
      </w:r>
    </w:p>
    <w:p w14:paraId="7569E3F2">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6</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记录台账要求真实、准确、完整，符合环保、卫生等系统上级主管部门的要求。</w:t>
      </w:r>
    </w:p>
    <w:p w14:paraId="5593592A">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7</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提供能满足环保检查要求的安全防护用品和污水处理设备的常规备品备件，并做好台账。</w:t>
      </w:r>
    </w:p>
    <w:p w14:paraId="538BFBCC">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8</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负责安装污水处理站内损坏的标识标牌及上墙制度更新等。</w:t>
      </w:r>
    </w:p>
    <w:p w14:paraId="17E81E59">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9</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每半年提供一次污水处理站运维报告，对污水处理站的设备、设施运行状况、维修保养状况、设备更换状况、出水水质状况、污水站存在的问题等进行全面分析，以便医院管理层能直观的了解污水处理站的运行情况。</w:t>
      </w:r>
    </w:p>
    <w:p w14:paraId="6E416D3E">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10</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配合医院完成各监管单位检查，提供业主所需数据。配合医院在突发疫情情况调调整污水站运行参数，确保污水站出水稳定安全达到国家临时要求的指标要求。</w:t>
      </w:r>
    </w:p>
    <w:p w14:paraId="1CA7E15C">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11</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配合第三方水质检测公司进行水质检测工作，并对水质检测报告数值进行持续跟踪分析，确保全面客观了解污水处理站运行状况，确保无异常情况发生。</w:t>
      </w:r>
      <w:r>
        <w:rPr>
          <w:rFonts w:hint="eastAsia" w:ascii="Times New Roman" w:hAnsi="Times New Roman" w:eastAsia="方正仿宋_GB2312" w:cs="Times New Roman"/>
          <w:color w:val="000000"/>
          <w:kern w:val="0"/>
          <w:sz w:val="32"/>
          <w:szCs w:val="32"/>
          <w:lang w:val="en-US" w:eastAsia="zh-CN" w:bidi="ar-SA"/>
        </w:rPr>
        <w:t>每月、每季度、每年出具第三方有资质水质检测报告。</w:t>
      </w:r>
    </w:p>
    <w:p w14:paraId="0985F50E">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12</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及时清理集水池内的固体废弃物，确保水泵工作正常；</w:t>
      </w:r>
      <w:r>
        <w:rPr>
          <w:rFonts w:hint="eastAsia" w:ascii="Times New Roman" w:hAnsi="Times New Roman" w:eastAsia="方正仿宋_GB2312" w:cs="Times New Roman"/>
          <w:color w:val="000000"/>
          <w:kern w:val="0"/>
          <w:sz w:val="32"/>
          <w:szCs w:val="32"/>
          <w:lang w:val="en-US" w:eastAsia="zh-CN" w:bidi="ar-SA"/>
        </w:rPr>
        <w:t>有效处理污泥；</w:t>
      </w:r>
      <w:r>
        <w:rPr>
          <w:rFonts w:hint="default" w:ascii="Times New Roman" w:hAnsi="Times New Roman" w:eastAsia="方正仿宋_GB2312" w:cs="Times New Roman"/>
          <w:color w:val="000000"/>
          <w:kern w:val="0"/>
          <w:sz w:val="32"/>
          <w:szCs w:val="32"/>
          <w:lang w:val="en-US" w:eastAsia="zh-CN" w:bidi="ar-SA"/>
        </w:rPr>
        <w:t>确保进水管道、格栅等设施进水正常，对污水站机房环境进行相应清扫活动，确保机房环境干净整洁。</w:t>
      </w:r>
    </w:p>
    <w:p w14:paraId="5B05E28B">
      <w:pPr>
        <w:keepNext w:val="0"/>
        <w:keepLines w:val="0"/>
        <w:pageBreakBefore w:val="0"/>
        <w:kinsoku/>
        <w:wordWrap/>
        <w:overflowPunct/>
        <w:topLinePunct w:val="0"/>
        <w:bidi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default" w:ascii="Times New Roman" w:hAnsi="Times New Roman" w:eastAsia="方正仿宋_GB2312" w:cs="Times New Roman"/>
          <w:color w:val="000000"/>
          <w:kern w:val="0"/>
          <w:sz w:val="32"/>
          <w:szCs w:val="32"/>
          <w:lang w:val="en-US" w:eastAsia="zh-CN" w:bidi="ar-SA"/>
        </w:rPr>
        <w:t>13</w:t>
      </w:r>
      <w:r>
        <w:rPr>
          <w:rFonts w:hint="eastAsia" w:ascii="Times New Roman" w:hAnsi="Times New Roman" w:eastAsia="方正仿宋_GB2312" w:cs="Times New Roman"/>
          <w:color w:val="000000"/>
          <w:kern w:val="0"/>
          <w:sz w:val="32"/>
          <w:szCs w:val="32"/>
          <w:lang w:val="en-US" w:eastAsia="zh-CN" w:bidi="ar-SA"/>
        </w:rPr>
        <w:t>、</w:t>
      </w:r>
      <w:r>
        <w:rPr>
          <w:rFonts w:hint="default" w:ascii="Times New Roman" w:hAnsi="Times New Roman" w:eastAsia="方正仿宋_GB2312" w:cs="Times New Roman"/>
          <w:color w:val="000000"/>
          <w:kern w:val="0"/>
          <w:sz w:val="32"/>
          <w:szCs w:val="32"/>
          <w:lang w:val="en-US" w:eastAsia="zh-CN" w:bidi="ar-SA"/>
        </w:rPr>
        <w:t>本次污水运维服务项目拟按签订三年合同期开展市场调研。</w:t>
      </w:r>
    </w:p>
    <w:p w14:paraId="6167B068">
      <w:pPr>
        <w:pStyle w:val="5"/>
        <w:keepNext w:val="0"/>
        <w:keepLines w:val="0"/>
        <w:pageBreakBefore w:val="0"/>
        <w:widowControl w:val="0"/>
        <w:kinsoku/>
        <w:wordWrap/>
        <w:overflowPunct/>
        <w:topLinePunct w:val="0"/>
        <w:autoSpaceDE w:val="0"/>
        <w:autoSpaceDN w:val="0"/>
        <w:bidi w:val="0"/>
        <w:adjustRightInd w:val="0"/>
        <w:snapToGrid/>
        <w:spacing w:line="480" w:lineRule="exact"/>
        <w:textAlignment w:val="auto"/>
        <w:rPr>
          <w:rFonts w:hint="default" w:ascii="Times New Roman" w:hAnsi="Times New Roman" w:eastAsia="方正仿宋_GB2312" w:cs="Times New Roman"/>
          <w:color w:val="000000"/>
          <w:kern w:val="0"/>
          <w:sz w:val="32"/>
          <w:szCs w:val="32"/>
          <w:lang w:val="en-US" w:eastAsia="zh-CN" w:bidi="ar-SA"/>
        </w:rPr>
      </w:pPr>
      <w:r>
        <w:rPr>
          <w:rFonts w:hint="eastAsia" w:ascii="Times New Roman" w:eastAsia="方正仿宋_GB2312" w:cs="Times New Roman"/>
          <w:color w:val="000000"/>
          <w:kern w:val="0"/>
          <w:sz w:val="32"/>
          <w:szCs w:val="32"/>
          <w:lang w:val="en-US" w:eastAsia="zh-CN" w:bidi="ar-SA"/>
        </w:rPr>
        <w:t xml:space="preserve">   </w:t>
      </w:r>
      <w:r>
        <w:rPr>
          <w:rFonts w:hint="eastAsia" w:ascii="Times New Roman" w:hAnsi="Times New Roman" w:eastAsia="方正仿宋_GB2312" w:cs="Times New Roman"/>
          <w:color w:val="000000"/>
          <w:kern w:val="0"/>
          <w:sz w:val="32"/>
          <w:szCs w:val="32"/>
          <w:lang w:val="en-US" w:eastAsia="zh-CN" w:bidi="ar-SA"/>
        </w:rPr>
        <w:t xml:space="preserve"> 请各供应商结合该采购需求进行合理报价，填报本次采购项目市场调研的附件2</w:t>
      </w:r>
      <w:r>
        <w:rPr>
          <w:rFonts w:hint="eastAsia" w:ascii="Times New Roman" w:eastAsia="方正仿宋_GB2312" w:cs="Times New Roman"/>
          <w:color w:val="000000"/>
          <w:kern w:val="0"/>
          <w:sz w:val="32"/>
          <w:szCs w:val="32"/>
          <w:lang w:val="en-US" w:eastAsia="zh-CN" w:bidi="ar-SA"/>
        </w:rPr>
        <w:t>；出具专业性的项目计划书；</w:t>
      </w:r>
      <w:r>
        <w:rPr>
          <w:rFonts w:hint="eastAsia" w:ascii="Times New Roman" w:hAnsi="Times New Roman" w:eastAsia="方正仿宋_GB2312" w:cs="Times New Roman"/>
          <w:color w:val="000000"/>
          <w:kern w:val="0"/>
          <w:sz w:val="32"/>
          <w:szCs w:val="32"/>
          <w:lang w:val="en-US" w:eastAsia="zh-CN" w:bidi="ar-SA"/>
        </w:rPr>
        <w:t>如有专业性意见和建议，欢迎提出。您的宝贵意见将作为我院采购的重要参考因素。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DD6F0E-A668-407E-9701-512D790ABF6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1869B3C-02AB-4E82-A5F0-5CBAECFD0A3A}"/>
  </w:font>
  <w:font w:name="方正公文小标宋">
    <w:panose1 w:val="02000500000000000000"/>
    <w:charset w:val="86"/>
    <w:family w:val="auto"/>
    <w:pitch w:val="default"/>
    <w:sig w:usb0="A00002BF" w:usb1="38CF7CFA" w:usb2="00000016" w:usb3="00000000" w:csb0="00040001" w:csb1="00000000"/>
    <w:embedRegular r:id="rId3" w:fontKey="{C92E4DA2-8A40-44B6-935F-C4D18888A6BC}"/>
  </w:font>
  <w:font w:name="方正仿宋_GB2312">
    <w:panose1 w:val="02000000000000000000"/>
    <w:charset w:val="86"/>
    <w:family w:val="auto"/>
    <w:pitch w:val="default"/>
    <w:sig w:usb0="A00002BF" w:usb1="184F6CFA" w:usb2="00000012" w:usb3="00000000" w:csb0="00040001" w:csb1="00000000"/>
    <w:embedRegular r:id="rId4" w:fontKey="{4BFE3F06-C97E-48DC-8A5E-B41D0260E3C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A67029"/>
    <w:multiLevelType w:val="singleLevel"/>
    <w:tmpl w:val="42A6702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1YTdjY2VjOWZmMjI3ZDJjM2FjM2JjMWRkOWFiNDQifQ=="/>
  </w:docVars>
  <w:rsids>
    <w:rsidRoot w:val="6E1F4345"/>
    <w:rsid w:val="235A3F3B"/>
    <w:rsid w:val="2895055A"/>
    <w:rsid w:val="335D0251"/>
    <w:rsid w:val="342E6914"/>
    <w:rsid w:val="65856615"/>
    <w:rsid w:val="6D453E05"/>
    <w:rsid w:val="6E1F4345"/>
    <w:rsid w:val="7B167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1411</Words>
  <Characters>1450</Characters>
  <Lines>0</Lines>
  <Paragraphs>0</Paragraphs>
  <TotalTime>0</TotalTime>
  <ScaleCrop>false</ScaleCrop>
  <LinksUpToDate>false</LinksUpToDate>
  <CharactersWithSpaces>1456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2025-02-27T00:49:00Z</dcterms:created>
  <dc:creator>ﺭ并退出了群聊ﺭ艺艺</dc:creator>
  <cp:lastModifiedBy>ﺭ并退出了群聊ﺭ艺艺</cp:lastModifiedBy>
  <dcterms:modified xsi:type="dcterms:W3CDTF">2025-03-04T09:18:37Z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50BF0BC2BC5544F89C7F242EF6320BF7_11</vt:lpwstr>
  </property>
  <property fmtid="{D5CDD505-2E9C-101B-9397-08002B2CF9AE}" pid="4" name="KSOTemplateDocerSaveRecord">
    <vt:lpwstr>eyJoZGlkIjoiZDVkNmFlZTE4ZWQzY2YzNzU2ZWVkZmM5OTMyYjUwZTkiLCJ1c2VySWQiOiI2MDgwOTI2MjIifQ==</vt:lpwstr>
  </property>
</Properties>
</file>