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9FAA0">
      <w:pPr>
        <w:keepNext w:val="0"/>
        <w:keepLines w:val="0"/>
        <w:pageBreakBefore w:val="0"/>
        <w:kinsoku/>
        <w:wordWrap/>
        <w:overflowPunct/>
        <w:topLinePunct w:val="0"/>
        <w:autoSpaceDE/>
        <w:autoSpaceDN/>
        <w:bidi w:val="0"/>
        <w:adjustRightInd/>
        <w:snapToGrid/>
        <w:spacing w:line="48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4B647B24">
      <w:pPr>
        <w:keepNext w:val="0"/>
        <w:keepLines w:val="0"/>
        <w:pageBreakBefore w:val="0"/>
        <w:kinsoku/>
        <w:wordWrap/>
        <w:overflowPunct/>
        <w:topLinePunct w:val="0"/>
        <w:autoSpaceDE/>
        <w:autoSpaceDN/>
        <w:bidi w:val="0"/>
        <w:adjustRightInd/>
        <w:snapToGrid/>
        <w:spacing w:line="480" w:lineRule="exact"/>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玉林市中西医结合骨科医院</w:t>
      </w:r>
    </w:p>
    <w:p w14:paraId="76325B3A">
      <w:pPr>
        <w:keepNext w:val="0"/>
        <w:keepLines w:val="0"/>
        <w:pageBreakBefore w:val="0"/>
        <w:kinsoku/>
        <w:wordWrap/>
        <w:overflowPunct/>
        <w:topLinePunct w:val="0"/>
        <w:autoSpaceDE/>
        <w:autoSpaceDN/>
        <w:bidi w:val="0"/>
        <w:adjustRightInd/>
        <w:snapToGrid/>
        <w:spacing w:line="480" w:lineRule="exact"/>
        <w:jc w:val="center"/>
        <w:rPr>
          <w:rFonts w:hint="eastAsia" w:ascii="方正公文小标宋" w:hAnsi="方正公文小标宋" w:eastAsia="方正公文小标宋" w:cs="方正公文小标宋"/>
          <w:sz w:val="44"/>
          <w:szCs w:val="44"/>
        </w:rPr>
      </w:pPr>
      <w:bookmarkStart w:id="0" w:name="_GoBack"/>
      <w:bookmarkEnd w:id="0"/>
      <w:r>
        <w:rPr>
          <w:rFonts w:hint="eastAsia" w:ascii="方正公文小标宋" w:hAnsi="方正公文小标宋" w:eastAsia="方正公文小标宋" w:cs="方正公文小标宋"/>
          <w:sz w:val="44"/>
          <w:szCs w:val="44"/>
        </w:rPr>
        <w:t>2026年医疗护理服务机构遴选项目需求</w:t>
      </w:r>
    </w:p>
    <w:p w14:paraId="0A7FD7D2">
      <w:pPr>
        <w:keepNext w:val="0"/>
        <w:keepLines w:val="0"/>
        <w:pageBreakBefore w:val="0"/>
        <w:kinsoku/>
        <w:wordWrap/>
        <w:overflowPunct/>
        <w:topLinePunct w:val="0"/>
        <w:autoSpaceDE/>
        <w:autoSpaceDN/>
        <w:bidi w:val="0"/>
        <w:adjustRightInd/>
        <w:snapToGrid/>
        <w:spacing w:line="480" w:lineRule="exact"/>
        <w:rPr>
          <w:rFonts w:hint="eastAsia" w:ascii="黑体" w:hAnsi="黑体" w:eastAsia="黑体" w:cs="黑体"/>
          <w:sz w:val="32"/>
          <w:szCs w:val="32"/>
        </w:rPr>
      </w:pPr>
    </w:p>
    <w:p w14:paraId="127308B8">
      <w:pPr>
        <w:keepNext w:val="0"/>
        <w:keepLines w:val="0"/>
        <w:pageBreakBefore w:val="0"/>
        <w:kinsoku/>
        <w:wordWrap/>
        <w:overflowPunct/>
        <w:topLinePunct w:val="0"/>
        <w:autoSpaceDE/>
        <w:autoSpaceDN/>
        <w:bidi w:val="0"/>
        <w:adjustRightInd/>
        <w:snapToGrid/>
        <w:spacing w:line="440" w:lineRule="exact"/>
        <w:outlineLvl w:val="0"/>
        <w:rPr>
          <w:rFonts w:hint="eastAsia" w:ascii="黑体" w:hAnsi="黑体" w:eastAsia="黑体" w:cs="黑体"/>
          <w:sz w:val="32"/>
          <w:szCs w:val="32"/>
        </w:rPr>
      </w:pPr>
      <w:r>
        <w:rPr>
          <w:rFonts w:hint="eastAsia" w:ascii="黑体" w:hAnsi="黑体" w:eastAsia="黑体" w:cs="黑体"/>
          <w:sz w:val="32"/>
          <w:szCs w:val="32"/>
        </w:rPr>
        <w:t>一、医院概况</w:t>
      </w:r>
    </w:p>
    <w:p w14:paraId="4D40449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玉林市中西医结合骨科医院位于玉林市文体北路70号，设临床科室34个，医技科室11个，职工人数1400余人，编制床位1170张，实际开放床位约为1600张左右。由我院提供相应的场地，经营方式采用盈亏自负，由服务商自行负责管理经营。</w:t>
      </w:r>
    </w:p>
    <w:p w14:paraId="7BC86641">
      <w:pPr>
        <w:keepNext w:val="0"/>
        <w:keepLines w:val="0"/>
        <w:pageBreakBefore w:val="0"/>
        <w:kinsoku/>
        <w:wordWrap/>
        <w:overflowPunct/>
        <w:topLinePunct w:val="0"/>
        <w:autoSpaceDE/>
        <w:autoSpaceDN/>
        <w:bidi w:val="0"/>
        <w:adjustRightInd/>
        <w:snapToGrid/>
        <w:spacing w:line="440" w:lineRule="exact"/>
        <w:outlineLvl w:val="0"/>
        <w:rPr>
          <w:rFonts w:hint="eastAsia" w:ascii="黑体" w:hAnsi="黑体" w:eastAsia="黑体" w:cs="黑体"/>
          <w:sz w:val="32"/>
          <w:szCs w:val="32"/>
        </w:rPr>
      </w:pPr>
      <w:r>
        <w:rPr>
          <w:rFonts w:hint="eastAsia" w:ascii="黑体" w:hAnsi="黑体" w:eastAsia="黑体" w:cs="黑体"/>
          <w:sz w:val="32"/>
          <w:szCs w:val="32"/>
        </w:rPr>
        <w:t>二、需要配备医疗护理员人数及要求</w:t>
      </w:r>
    </w:p>
    <w:p w14:paraId="7621BB40">
      <w:pPr>
        <w:keepNext w:val="0"/>
        <w:keepLines w:val="0"/>
        <w:pageBreakBefore w:val="0"/>
        <w:kinsoku/>
        <w:wordWrap/>
        <w:overflowPunct/>
        <w:topLinePunct w:val="0"/>
        <w:autoSpaceDE/>
        <w:autoSpaceDN/>
        <w:bidi w:val="0"/>
        <w:adjustRightInd/>
        <w:snapToGrid/>
        <w:spacing w:line="440" w:lineRule="exact"/>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（一）人员管理及考核要求</w:t>
      </w:r>
    </w:p>
    <w:p w14:paraId="08A211F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1.人员的编制每周休息1天为“1人”标准。</w:t>
      </w:r>
    </w:p>
    <w:p w14:paraId="7584C41C">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2.医疗护理员需按照《医疗护理员服务质量评价考核标准》开展工作；</w:t>
      </w:r>
    </w:p>
    <w:p w14:paraId="14D17A6D">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3.目前暂定管理人员至少3人：项目经理1人，项目主管（项目主任）1人，现场主管1人。管理人员资质应具备大专以上文化程度，年龄在 25-60岁之间，男女均可。</w:t>
      </w:r>
    </w:p>
    <w:p w14:paraId="428F929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4.目前暂定医疗护理员约200名，后续按科室具体需求配置医疗护理员。</w:t>
      </w:r>
    </w:p>
    <w:p w14:paraId="4603475B">
      <w:pPr>
        <w:keepNext w:val="0"/>
        <w:keepLines w:val="0"/>
        <w:pageBreakBefore w:val="0"/>
        <w:kinsoku/>
        <w:wordWrap/>
        <w:overflowPunct/>
        <w:topLinePunct w:val="0"/>
        <w:autoSpaceDE/>
        <w:autoSpaceDN/>
        <w:bidi w:val="0"/>
        <w:adjustRightInd/>
        <w:snapToGrid/>
        <w:spacing w:line="440" w:lineRule="exact"/>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（二）医疗护理员要求</w:t>
      </w:r>
    </w:p>
    <w:p w14:paraId="4657979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1.年龄满18周岁至60周岁，初中以上文化程度，近三个月健康体检合格（按照采购方新员工入职体检标准）。</w:t>
      </w:r>
    </w:p>
    <w:p w14:paraId="10EEAA15">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2.医疗护理员录用前必须经过政审合格，上岗前必须经过正规培训，必须获得医疗护理员相应职业技能证书。</w:t>
      </w:r>
    </w:p>
    <w:p w14:paraId="4879DFD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3.品行良好，有责任心，具备良好沟通能力，尊重关心爱护服务对象，有较好的团队协作精神，无不良嗜好、刑事犯罪记录及其他不适合从事医疗护理员工作的情况。</w:t>
      </w:r>
    </w:p>
    <w:p w14:paraId="580151F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4.医疗护理员应按照要求进行个人信息登记，并提交居民身份证或者其他有效身份证件复印件；</w:t>
      </w:r>
    </w:p>
    <w:p w14:paraId="21F0F2EB">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5.医疗护理员不能隐瞒精神病病史及传染性疾病病史，患有传染性疾病、化脓性/渗出性皮肤病或其他可能影响患者健康的疾病，应当立即离岗治疗，治愈后方可重新上岗。</w:t>
      </w:r>
    </w:p>
    <w:p w14:paraId="6069D468">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6.培训要求：服务商需对医疗护理员进行基础护理、安全保护、突发事件处理、安全生产及消防知识等相关培训；同时也要参加采购方组织的护理、院感知识培训。</w:t>
      </w:r>
    </w:p>
    <w:p w14:paraId="65E7AB72">
      <w:pPr>
        <w:keepNext w:val="0"/>
        <w:keepLines w:val="0"/>
        <w:pageBreakBefore w:val="0"/>
        <w:kinsoku/>
        <w:wordWrap/>
        <w:overflowPunct/>
        <w:topLinePunct w:val="0"/>
        <w:autoSpaceDE/>
        <w:autoSpaceDN/>
        <w:bidi w:val="0"/>
        <w:adjustRightInd/>
        <w:snapToGrid/>
        <w:spacing w:line="440" w:lineRule="exact"/>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（三）医疗护理员服务要求</w:t>
      </w:r>
    </w:p>
    <w:p w14:paraId="5BC902E6">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1.遵守劳动纪律，遵守医院各项管理制度。</w:t>
      </w:r>
    </w:p>
    <w:p w14:paraId="5ABC126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2.听从安排，上岗统一着装，佩带工作牌；保持服装整洁。</w:t>
      </w:r>
    </w:p>
    <w:p w14:paraId="57AD9EF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3.严禁医疗护理员从事医疗护理专业技术性工作，切实保障医疗质量和安全。</w:t>
      </w:r>
    </w:p>
    <w:p w14:paraId="214957AC">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4.为患者服务时必须做到文明服务。做到“四心”——同情心、爱心、关心、责任心。“四轻”，即：说话轻、走路轻、关门轻、搬抬轻。勤巡视，做到“二主动”，即：主动问候、主动服务。</w:t>
      </w:r>
    </w:p>
    <w:p w14:paraId="540E7120">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5.负责提供日常生活照护。经常与患者沟通交流，了解患者生活习惯。</w:t>
      </w:r>
    </w:p>
    <w:p w14:paraId="02DC4BA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6.协助护士为生活不能自理或仅能部分自理的患者提供晨晚间照护工作。</w:t>
      </w:r>
    </w:p>
    <w:p w14:paraId="266C6DDA">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7.协助非禁食、禁饮患者就餐、餐后清洁、整理餐具。</w:t>
      </w:r>
    </w:p>
    <w:p w14:paraId="3BE422FA">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8.负责定时为患者洗浴、洗头、修剪指（趾）甲。</w:t>
      </w:r>
    </w:p>
    <w:p w14:paraId="4541F19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9.协助护士为卧床患者翻身、叩背、大小便后进行会阴部清洁。</w:t>
      </w:r>
    </w:p>
    <w:p w14:paraId="314EEF98">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10.协助护士完成痰、尿、便标本留取、送检及取回检查报告。</w:t>
      </w:r>
    </w:p>
    <w:p w14:paraId="461EA227">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11.协助医务人员完成各种检查和手术的准备工作。</w:t>
      </w:r>
    </w:p>
    <w:p w14:paraId="5344FC94">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12.协助转科、转院、出院、送检患者整理物品，协助医务人员安全转运患者。</w:t>
      </w:r>
    </w:p>
    <w:p w14:paraId="57AC10F1">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陪送患者外出检查，注意核对检查单上患者信息；必须经护士评估，询问医护人员该患者是否适合转运以及转运过程中的注意事项。危重患者或有意识障碍的患者必须有医务人员陪同，检查结束送患者回病房后与当班护士做好交接工作。</w:t>
      </w:r>
    </w:p>
    <w:p w14:paraId="358BD14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14.B超、影像医学科需配备辅助人员，负责等候检查患者的管理，待患者检查完毕，电话通知科室外勤护理员接回患者，避免患者长时间等待。</w:t>
      </w:r>
    </w:p>
    <w:p w14:paraId="537B6E5D">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15.遇有意外及突发事件，及时向医务人员汇报，不可隐瞒。</w:t>
      </w:r>
    </w:p>
    <w:p w14:paraId="2C58C927">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16.工作认真负责，自觉遵守文明用语及服务禁语，注意服务态度和礼貌礼节，与患者家属正确处理好同事之间关系，爱护医院及科室财产。</w:t>
      </w:r>
    </w:p>
    <w:p w14:paraId="63CFAA0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17.医疗护理员不得有以下行为：</w:t>
      </w:r>
    </w:p>
    <w:p w14:paraId="1E385F97">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（1）连接或者拔除输液管路、调节输液速度、更换、拔除引流管等。</w:t>
      </w:r>
    </w:p>
    <w:p w14:paraId="7BFFBCA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（2）操作急救诊疗设施设备。</w:t>
      </w:r>
    </w:p>
    <w:p w14:paraId="436108F0">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（3）调节氧气开关，更换或者加减湿化瓶用水。</w:t>
      </w:r>
    </w:p>
    <w:p w14:paraId="79DD0238">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（4）未经医务人员指导和同意，协助进行鼻饲灌注食物或者药物。</w:t>
      </w:r>
    </w:p>
    <w:p w14:paraId="00F73AB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（5）未经医务人员指导和同意，协助进行热敷、冷敷。</w:t>
      </w:r>
    </w:p>
    <w:p w14:paraId="2F4FACC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（6）未经医务人员指导和同意，为危重、术后或者病情不稳定患者更换床单、改变体位或者下床活动等。</w:t>
      </w:r>
    </w:p>
    <w:p w14:paraId="54E1DF1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（7）开展其它医疗卫生专业技术活动。</w:t>
      </w:r>
    </w:p>
    <w:p w14:paraId="22BD0E3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（8）质疑和（或）干扰医疗机构各项诊疗活动行为。</w:t>
      </w:r>
    </w:p>
    <w:p w14:paraId="36022016">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（9）擅自翻阅病历或者其他医疗文书。</w:t>
      </w:r>
    </w:p>
    <w:p w14:paraId="4FE920E1">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（10）侵犯患者隐私、身心健康的言语和行为。</w:t>
      </w:r>
    </w:p>
    <w:p w14:paraId="17F7D6B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（11）为患者解释病情、治疗方案，推荐药品（商品）。</w:t>
      </w:r>
    </w:p>
    <w:p w14:paraId="2182713D">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（12）在医疗机构从事黄、赌、毒、酗酒等违法违规行为。</w:t>
      </w:r>
    </w:p>
    <w:p w14:paraId="3B74CD2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（13）进行与工作无关的行为，如玩手机、扎堆聊天。</w:t>
      </w:r>
    </w:p>
    <w:p w14:paraId="289A46D7">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（14）当班喝酒睡觉、擅离工作岗位及挑拨医患矛盾。</w:t>
      </w:r>
    </w:p>
    <w:p w14:paraId="4497328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（15）盗卖医疗物质、泄露医患秘密、索要患者钱物。</w:t>
      </w:r>
    </w:p>
    <w:p w14:paraId="67FA77ED">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p>
    <w:p w14:paraId="1ACCB2D2">
      <w:pPr>
        <w:keepNext w:val="0"/>
        <w:keepLines w:val="0"/>
        <w:pageBreakBefore w:val="0"/>
        <w:kinsoku/>
        <w:wordWrap/>
        <w:overflowPunct/>
        <w:topLinePunct w:val="0"/>
        <w:autoSpaceDE/>
        <w:autoSpaceDN/>
        <w:bidi w:val="0"/>
        <w:adjustRightInd/>
        <w:snapToGrid/>
        <w:spacing w:line="440" w:lineRule="exact"/>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（四）服务商的资质与能力要求</w:t>
      </w:r>
    </w:p>
    <w:p w14:paraId="722642D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1.法律资质与合规要求：</w:t>
      </w:r>
    </w:p>
    <w:p w14:paraId="066F048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法定资格：必须具备独立法人资格，持有有效的营业执照，且经营范围需明确包含“病人陪护服务”或“护理机构服务”，可要求服务商需提供《劳务派遣经营许可证》和《人力资源服务许可证》等专项资质；</w:t>
      </w:r>
    </w:p>
    <w:p w14:paraId="723769C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）信用记录：服务商在“信用中国”网站不得被列入失信被执行人、重大税收违法案件当事人名单、政府采购严重违法失信行为记录名单；</w:t>
      </w:r>
    </w:p>
    <w:p w14:paraId="5F2BA897">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）保险保障：中标人应该以服务人员的意愿为服务人员购买社会保险，“发生工伤事故、疾病乃至死亡的责任及费用由中标人全部负责”；</w:t>
      </w:r>
    </w:p>
    <w:p w14:paraId="1F656BD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2.专业能力与管理体系：</w:t>
      </w:r>
    </w:p>
    <w:p w14:paraId="72A341DD">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）服务经验：优先考虑具有医疗机构合作经验的服务商。要求服务商提供“过往医疗机构合作案例”及合同复印件，要求提供近三年同类项目历史成交情况。</w:t>
      </w:r>
    </w:p>
    <w:p w14:paraId="5B0D2339">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）培训体系：必须具备完善的培训机制，包括岗前培训（不少于40小时）和在岗继续教育；</w:t>
      </w:r>
    </w:p>
    <w:p w14:paraId="34C3A1AD">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）质量监控：需建立闭环管理体系，包括日常巡查（要求专职质量经理进行定期抽查）、满意度调查（要求每月调查患者满意度）和应急处理机制。要求服务商制定服务标准手册和工作流程；</w:t>
      </w:r>
    </w:p>
    <w:p w14:paraId="70F7F8E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）技术支持：需配备信息化管理系统，实现服务派单、过程跟踪、质量评价的数字化管理，服务商需提供有据可依的营业额收入数目。</w:t>
      </w:r>
    </w:p>
    <w:p w14:paraId="11DD1BF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3.人员标准与稳定性：</w:t>
      </w:r>
    </w:p>
    <w:p w14:paraId="229E95D8">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（1）基本条件，例如学历要求，护理学背景优先；</w:t>
      </w:r>
    </w:p>
    <w:p w14:paraId="6C962C1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）健康要求：必须持有效健康证，无传染性疾病和精神类疾病史；</w:t>
      </w:r>
    </w:p>
    <w:p w14:paraId="47D7B7B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）行为规范：严禁收受红包、推销产品、私用患者物品等行为，不得在病房内使用手机等行为准则规范。（由护理机构提供）；</w:t>
      </w:r>
    </w:p>
    <w:p w14:paraId="1CDC8C82">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队伍稳定：要求服务商控制人员流失率，并有充足的后备人员储备，以应对医院暴涨护理需求。要求服务商建立属地化招聘和后备人才库。要求人员流失率上限（建议≤8%）及替补响应时间（如24小时内补齐空缺）</w:t>
      </w:r>
    </w:p>
    <w:p w14:paraId="04CA2516">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4.质量监控与风险防范</w:t>
      </w:r>
    </w:p>
    <w:p w14:paraId="1A12072A">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（1）服务标准化：制定详细服务规范手册，明确界定护理员职责边界。规定护理员的禁止行为，包括“不得从事任何医疗护理操作，如换液、吸痰、鼻饲、拔输液针等。”</w:t>
      </w:r>
    </w:p>
    <w:p w14:paraId="5F906CFE">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服务质量评估体系：建立科学的质量评估体系，定期对陪护服务进行评估和改进。包括建立服务质量评估指标体系、定期评估机制、数据分析与反馈流程等。机构按月度或季度提交"工作标准、量化考核标准、患者满意度"等材料。</w:t>
      </w:r>
    </w:p>
    <w:p w14:paraId="1975A36C">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满意度及纪律管理：建立由护理部、患者家属、第三方评估机构参与的多维评价体系。护理员绩效设定应与服务质量与满意度评价挂钩；护理员机构管理服务质量应与三方满意度挂钩。设定满意度及管理评价体系，一年内有两次满意度评价不达标，取消机构入驻资格，并谢绝参加下一年度的遴选；对索要财物，泄露病人隐私等严重违纪的行为，一经核实立即终止合作并列入黑名单，属于机构管理不力。</w:t>
      </w:r>
    </w:p>
    <w:p w14:paraId="1A5041B0">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（4）投诉处理机制：完善的投诉处理机制是质量监控体系的重要组成部分。优质的陪护机构应当设立专门的投诉受理渠道，建立投诉处理追溯流程，确保患者反馈的问题能够得到及时解决。</w:t>
      </w:r>
    </w:p>
    <w:p w14:paraId="1DE923A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（5）持续改进能力：优质的陪护机构应当能够根据评估结果和患者反馈，不断优化服务流程和质量。包括定期分析服务数据、识别存在的问题、制定改进措施并落实执行。</w:t>
      </w:r>
    </w:p>
    <w:p w14:paraId="15B489EE">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应急处理能力：服务商需制定突发事件响应流程，包括患者意外伤害、护理员离职、投诉升级、安全事故、职业暴露等场景的标准化处理方案。医院保留直接介入权，规定“因陪护人员离职未及时补充引发纠纷，医院有权追究服务商责任”等。</w:t>
      </w:r>
    </w:p>
    <w:p w14:paraId="1636228E">
      <w:pPr>
        <w:keepNext w:val="0"/>
        <w:keepLines w:val="0"/>
        <w:pageBreakBefore w:val="0"/>
        <w:kinsoku/>
        <w:wordWrap/>
        <w:overflowPunct/>
        <w:topLinePunct w:val="0"/>
        <w:autoSpaceDE/>
        <w:autoSpaceDN/>
        <w:bidi w:val="0"/>
        <w:adjustRightInd/>
        <w:snapToGrid/>
        <w:spacing w:line="440" w:lineRule="exact"/>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（五）关于费用及其他要求</w:t>
      </w:r>
    </w:p>
    <w:p w14:paraId="05E5ED03">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1.涉及用工方面的劳务纠纷和劳动事故全部由服务商承担责任。</w:t>
      </w:r>
    </w:p>
    <w:p w14:paraId="68CB4E4B">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2.签订用工合同（含试用期），从签订用工合同之日起（含试用期满1个月），必须按服务工作人员意愿按时缴纳社会保险金。</w:t>
      </w:r>
    </w:p>
    <w:p w14:paraId="2AC4A04C">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3.服务商需按季度向采购方提供营业收入或报税信息等，以便计算并支付用于开展辅助护理服务的水电、相关医疗设施损耗及服务技术指导等必要的费用（支付比例为同期总服务经营收入的</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p>
    <w:p w14:paraId="54D104E8">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4.如陪护机构需医院配合进行专项的培训工作，应负责培训项目的所有费用。</w:t>
      </w:r>
    </w:p>
    <w:p w14:paraId="72EC0E0B">
      <w:pPr>
        <w:keepNext w:val="0"/>
        <w:keepLines w:val="0"/>
        <w:pageBreakBefore w:val="0"/>
        <w:kinsoku/>
        <w:wordWrap/>
        <w:overflowPunct/>
        <w:topLinePunct w:val="0"/>
        <w:autoSpaceDE/>
        <w:autoSpaceDN/>
        <w:bidi w:val="0"/>
        <w:adjustRightInd/>
        <w:snapToGrid/>
        <w:spacing w:line="440" w:lineRule="exact"/>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三、服务内容和限价</w:t>
      </w:r>
    </w:p>
    <w:tbl>
      <w:tblPr>
        <w:tblStyle w:val="2"/>
        <w:tblW w:w="9796" w:type="dxa"/>
        <w:jc w:val="center"/>
        <w:tblLayout w:type="autofit"/>
        <w:tblCellMar>
          <w:top w:w="11" w:type="dxa"/>
          <w:left w:w="108" w:type="dxa"/>
          <w:bottom w:w="11" w:type="dxa"/>
          <w:right w:w="108" w:type="dxa"/>
        </w:tblCellMar>
      </w:tblPr>
      <w:tblGrid>
        <w:gridCol w:w="976"/>
        <w:gridCol w:w="990"/>
        <w:gridCol w:w="4785"/>
        <w:gridCol w:w="986"/>
        <w:gridCol w:w="1024"/>
        <w:gridCol w:w="1035"/>
      </w:tblGrid>
      <w:tr w14:paraId="02587ABC">
        <w:tblPrEx>
          <w:tblCellMar>
            <w:top w:w="11" w:type="dxa"/>
            <w:left w:w="108" w:type="dxa"/>
            <w:bottom w:w="11" w:type="dxa"/>
            <w:right w:w="108" w:type="dxa"/>
          </w:tblCellMar>
        </w:tblPrEx>
        <w:trPr>
          <w:cantSplit/>
          <w:trHeight w:val="90" w:hRule="atLeast"/>
          <w:tblHeader/>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462165A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b/>
                <w:bCs/>
                <w:color w:val="auto"/>
                <w:sz w:val="18"/>
                <w:szCs w:val="18"/>
              </w:rPr>
            </w:pPr>
            <w:r>
              <w:rPr>
                <w:rStyle w:val="4"/>
                <w:rFonts w:hint="default" w:ascii="Times New Roman" w:hAnsi="Times New Roman" w:cs="Times New Roman"/>
                <w:color w:val="auto"/>
                <w:sz w:val="18"/>
                <w:szCs w:val="18"/>
                <w:lang w:bidi="ar"/>
              </w:rPr>
              <w:t>服务名称</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0EC88C4">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b/>
                <w:bCs/>
                <w:color w:val="auto"/>
                <w:sz w:val="18"/>
                <w:szCs w:val="18"/>
              </w:rPr>
            </w:pPr>
            <w:r>
              <w:rPr>
                <w:rStyle w:val="4"/>
                <w:rFonts w:hint="default" w:ascii="Times New Roman" w:hAnsi="Times New Roman" w:cs="Times New Roman"/>
                <w:color w:val="auto"/>
                <w:sz w:val="18"/>
                <w:szCs w:val="18"/>
                <w:lang w:bidi="ar"/>
              </w:rPr>
              <w:t>服务级别</w:t>
            </w: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535FB99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b/>
                <w:bCs/>
                <w:color w:val="auto"/>
                <w:sz w:val="18"/>
                <w:szCs w:val="18"/>
              </w:rPr>
            </w:pPr>
            <w:r>
              <w:rPr>
                <w:rStyle w:val="4"/>
                <w:rFonts w:hint="default" w:ascii="Times New Roman" w:hAnsi="Times New Roman" w:cs="Times New Roman"/>
                <w:color w:val="auto"/>
                <w:sz w:val="18"/>
                <w:szCs w:val="18"/>
                <w:lang w:bidi="ar"/>
              </w:rPr>
              <w:t>服务内容</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8A1C36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b/>
                <w:bCs/>
                <w:color w:val="auto"/>
                <w:sz w:val="18"/>
                <w:szCs w:val="18"/>
              </w:rPr>
            </w:pPr>
            <w:r>
              <w:rPr>
                <w:rStyle w:val="4"/>
                <w:rFonts w:hint="default" w:ascii="Times New Roman" w:hAnsi="Times New Roman" w:cs="Times New Roman"/>
                <w:color w:val="auto"/>
                <w:sz w:val="18"/>
                <w:szCs w:val="18"/>
                <w:lang w:bidi="ar"/>
              </w:rPr>
              <w:t>服务时长</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65640E3">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b/>
                <w:bCs/>
                <w:color w:val="auto"/>
                <w:sz w:val="18"/>
                <w:szCs w:val="18"/>
              </w:rPr>
            </w:pPr>
            <w:r>
              <w:rPr>
                <w:rStyle w:val="4"/>
                <w:rFonts w:hint="default" w:ascii="Times New Roman" w:hAnsi="Times New Roman" w:cs="Times New Roman"/>
                <w:color w:val="auto"/>
                <w:sz w:val="18"/>
                <w:szCs w:val="18"/>
                <w:lang w:bidi="ar"/>
              </w:rPr>
              <w:t>人员配比</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2DB1E2E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b/>
                <w:bCs/>
                <w:color w:val="auto"/>
                <w:sz w:val="18"/>
                <w:szCs w:val="18"/>
              </w:rPr>
            </w:pPr>
            <w:r>
              <w:rPr>
                <w:rStyle w:val="4"/>
                <w:rFonts w:hint="default" w:ascii="Times New Roman" w:hAnsi="Times New Roman" w:cs="Times New Roman"/>
                <w:color w:val="auto"/>
                <w:sz w:val="18"/>
                <w:szCs w:val="18"/>
                <w:lang w:bidi="ar"/>
              </w:rPr>
              <w:t>服务限价</w:t>
            </w:r>
          </w:p>
        </w:tc>
      </w:tr>
      <w:tr w14:paraId="2CE08984">
        <w:tblPrEx>
          <w:tblCellMar>
            <w:top w:w="11" w:type="dxa"/>
            <w:left w:w="108" w:type="dxa"/>
            <w:bottom w:w="11" w:type="dxa"/>
            <w:right w:w="108" w:type="dxa"/>
          </w:tblCellMar>
        </w:tblPrEx>
        <w:trPr>
          <w:cantSplit/>
          <w:trHeight w:val="312" w:hRule="atLeast"/>
          <w:jc w:val="center"/>
        </w:trPr>
        <w:tc>
          <w:tcPr>
            <w:tcW w:w="9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66B5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一对一</w:t>
            </w:r>
          </w:p>
        </w:tc>
        <w:tc>
          <w:tcPr>
            <w:tcW w:w="9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448C3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vMerge w:val="restart"/>
            <w:tcBorders>
              <w:top w:val="single" w:color="000000" w:sz="4" w:space="0"/>
              <w:left w:val="single" w:color="000000" w:sz="4" w:space="0"/>
              <w:bottom w:val="single" w:color="000000" w:sz="4" w:space="0"/>
              <w:right w:val="single" w:color="000000" w:sz="4" w:space="0"/>
            </w:tcBorders>
            <w:noWrap w:val="0"/>
            <w:vAlign w:val="center"/>
          </w:tcPr>
          <w:p w14:paraId="6656402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在一级生活照护的基础上，提供与患者自理能力不足的照护需求相对应的服务内容，所有照护行为均需在医务人员指导下或经医务人员同意后进行。</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2.24</w:t>
            </w:r>
            <w:r>
              <w:rPr>
                <w:rStyle w:val="5"/>
                <w:rFonts w:hint="default" w:ascii="Times New Roman" w:hAnsi="Times New Roman" w:cs="Times New Roman"/>
                <w:color w:val="auto"/>
                <w:sz w:val="18"/>
                <w:szCs w:val="18"/>
                <w:lang w:bidi="ar"/>
              </w:rPr>
              <w:t>小时床旁陪伴与照护患者。</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3.</w:t>
            </w:r>
            <w:r>
              <w:rPr>
                <w:rStyle w:val="5"/>
                <w:rFonts w:hint="default" w:ascii="Times New Roman" w:hAnsi="Times New Roman" w:cs="Times New Roman"/>
                <w:color w:val="auto"/>
                <w:sz w:val="18"/>
                <w:szCs w:val="18"/>
                <w:lang w:bidi="ar"/>
              </w:rPr>
              <w:t>按时按需喂水、喂食，需要时协助评估进食、进水量，并做好记录。</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4.</w:t>
            </w:r>
            <w:r>
              <w:rPr>
                <w:rStyle w:val="5"/>
                <w:rFonts w:hint="default" w:ascii="Times New Roman" w:hAnsi="Times New Roman" w:cs="Times New Roman"/>
                <w:color w:val="auto"/>
                <w:sz w:val="18"/>
                <w:szCs w:val="18"/>
                <w:lang w:bidi="ar"/>
              </w:rPr>
              <w:t>协助患者洗澡、擦浴，保持躯体清洁干燥，定时叩背、翻身、有效咳嗽。</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5.</w:t>
            </w:r>
            <w:r>
              <w:rPr>
                <w:rStyle w:val="5"/>
                <w:rFonts w:hint="default" w:ascii="Times New Roman" w:hAnsi="Times New Roman" w:cs="Times New Roman"/>
                <w:color w:val="auto"/>
                <w:sz w:val="18"/>
                <w:szCs w:val="18"/>
                <w:lang w:bidi="ar"/>
              </w:rPr>
              <w:t>协助保持肢体功能位、定时变换体位、肢体按摩。</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6.</w:t>
            </w:r>
            <w:r>
              <w:rPr>
                <w:rStyle w:val="5"/>
                <w:rFonts w:hint="default" w:ascii="Times New Roman" w:hAnsi="Times New Roman" w:cs="Times New Roman"/>
                <w:color w:val="auto"/>
                <w:sz w:val="18"/>
                <w:szCs w:val="18"/>
                <w:lang w:bidi="ar"/>
              </w:rPr>
              <w:t>陪伴患者，做好患者心理安抚，与患者及其亲属有效沟通与交流。</w:t>
            </w:r>
          </w:p>
        </w:tc>
        <w:tc>
          <w:tcPr>
            <w:tcW w:w="986" w:type="dxa"/>
            <w:vMerge w:val="restart"/>
            <w:tcBorders>
              <w:top w:val="single" w:color="000000" w:sz="4" w:space="0"/>
              <w:left w:val="single" w:color="000000" w:sz="4" w:space="0"/>
              <w:bottom w:val="single" w:color="000000" w:sz="4" w:space="0"/>
              <w:right w:val="single" w:color="000000" w:sz="4" w:space="0"/>
            </w:tcBorders>
            <w:noWrap w:val="0"/>
            <w:vAlign w:val="center"/>
          </w:tcPr>
          <w:p w14:paraId="4FC147A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24</w:t>
            </w:r>
            <w:r>
              <w:rPr>
                <w:rStyle w:val="5"/>
                <w:rFonts w:hint="default" w:ascii="Times New Roman" w:hAnsi="Times New Roman" w:cs="Times New Roman"/>
                <w:color w:val="auto"/>
                <w:sz w:val="18"/>
                <w:szCs w:val="18"/>
                <w:lang w:bidi="ar"/>
              </w:rPr>
              <w:t>小时</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937A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比</w:t>
            </w:r>
            <w:r>
              <w:rPr>
                <w:rStyle w:val="6"/>
                <w:rFonts w:hint="default" w:ascii="Times New Roman" w:hAnsi="Times New Roman" w:cs="Times New Roman"/>
                <w:color w:val="auto"/>
                <w:sz w:val="18"/>
                <w:szCs w:val="18"/>
                <w:lang w:bidi="ar"/>
              </w:rPr>
              <w:t>1</w:t>
            </w:r>
          </w:p>
        </w:tc>
        <w:tc>
          <w:tcPr>
            <w:tcW w:w="10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52F91C4">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240</w:t>
            </w:r>
            <w:r>
              <w:rPr>
                <w:rStyle w:val="7"/>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天</w:t>
            </w:r>
          </w:p>
        </w:tc>
      </w:tr>
      <w:tr w14:paraId="02F186A0">
        <w:tblPrEx>
          <w:tblCellMar>
            <w:top w:w="11" w:type="dxa"/>
            <w:left w:w="108" w:type="dxa"/>
            <w:bottom w:w="11" w:type="dxa"/>
            <w:right w:w="108" w:type="dxa"/>
          </w:tblCellMar>
        </w:tblPrEx>
        <w:trPr>
          <w:cantSplit/>
          <w:trHeight w:val="312"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354D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4096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1140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default" w:ascii="Times New Roman" w:hAnsi="Times New Roman" w:cs="Times New Roman"/>
                <w:color w:val="auto"/>
                <w:sz w:val="18"/>
                <w:szCs w:val="18"/>
              </w:rPr>
            </w:pPr>
          </w:p>
        </w:tc>
        <w:tc>
          <w:tcPr>
            <w:tcW w:w="9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7ED1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71FB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9500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r>
      <w:tr w14:paraId="7F260C8D">
        <w:tblPrEx>
          <w:tblCellMar>
            <w:top w:w="11" w:type="dxa"/>
            <w:left w:w="108" w:type="dxa"/>
            <w:bottom w:w="11" w:type="dxa"/>
            <w:right w:w="108" w:type="dxa"/>
          </w:tblCellMar>
        </w:tblPrEx>
        <w:trPr>
          <w:cantSplit/>
          <w:trHeight w:val="23" w:hRule="atLeast"/>
          <w:jc w:val="center"/>
        </w:trPr>
        <w:tc>
          <w:tcPr>
            <w:tcW w:w="976" w:type="dxa"/>
            <w:vMerge w:val="restart"/>
            <w:tcBorders>
              <w:top w:val="single" w:color="000000" w:sz="4" w:space="0"/>
              <w:left w:val="single" w:color="000000" w:sz="4" w:space="0"/>
              <w:right w:val="single" w:color="000000" w:sz="4" w:space="0"/>
            </w:tcBorders>
            <w:noWrap w:val="0"/>
            <w:vAlign w:val="center"/>
          </w:tcPr>
          <w:p w14:paraId="758F7A2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一对二</w:t>
            </w:r>
          </w:p>
        </w:tc>
        <w:tc>
          <w:tcPr>
            <w:tcW w:w="990" w:type="dxa"/>
            <w:vMerge w:val="restart"/>
            <w:tcBorders>
              <w:top w:val="single" w:color="000000" w:sz="4" w:space="0"/>
              <w:left w:val="single" w:color="000000" w:sz="4" w:space="0"/>
              <w:right w:val="single" w:color="000000" w:sz="4" w:space="0"/>
            </w:tcBorders>
            <w:noWrap w:val="0"/>
            <w:vAlign w:val="center"/>
          </w:tcPr>
          <w:p w14:paraId="42A2A65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vMerge w:val="restart"/>
            <w:tcBorders>
              <w:top w:val="single" w:color="000000" w:sz="4" w:space="0"/>
              <w:left w:val="single" w:color="000000" w:sz="4" w:space="0"/>
              <w:right w:val="single" w:color="000000" w:sz="4" w:space="0"/>
            </w:tcBorders>
            <w:noWrap w:val="0"/>
            <w:vAlign w:val="center"/>
          </w:tcPr>
          <w:p w14:paraId="18D355F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同上</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A932E8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24</w:t>
            </w:r>
            <w:r>
              <w:rPr>
                <w:rStyle w:val="5"/>
                <w:rFonts w:hint="default" w:ascii="Times New Roman" w:hAnsi="Times New Roman" w:cs="Times New Roman"/>
                <w:color w:val="auto"/>
                <w:sz w:val="18"/>
                <w:szCs w:val="18"/>
                <w:lang w:bidi="ar"/>
              </w:rPr>
              <w:t>小时</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FA103A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比</w:t>
            </w:r>
            <w:r>
              <w:rPr>
                <w:rStyle w:val="6"/>
                <w:rFonts w:hint="default" w:ascii="Times New Roman" w:hAnsi="Times New Roman" w:cs="Times New Roman"/>
                <w:color w:val="auto"/>
                <w:sz w:val="18"/>
                <w:szCs w:val="18"/>
                <w:lang w:bidi="ar"/>
              </w:rPr>
              <w:t>2</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0E65C7C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140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天</w:t>
            </w:r>
          </w:p>
        </w:tc>
      </w:tr>
      <w:tr w14:paraId="0AF864CB">
        <w:tblPrEx>
          <w:tblCellMar>
            <w:top w:w="11" w:type="dxa"/>
            <w:left w:w="108" w:type="dxa"/>
            <w:bottom w:w="11" w:type="dxa"/>
            <w:right w:w="108" w:type="dxa"/>
          </w:tblCellMar>
        </w:tblPrEx>
        <w:trPr>
          <w:cantSplit/>
          <w:trHeight w:val="23" w:hRule="atLeast"/>
          <w:jc w:val="center"/>
        </w:trPr>
        <w:tc>
          <w:tcPr>
            <w:tcW w:w="976" w:type="dxa"/>
            <w:vMerge w:val="continue"/>
            <w:tcBorders>
              <w:left w:val="single" w:color="000000" w:sz="4" w:space="0"/>
              <w:bottom w:val="single" w:color="000000" w:sz="4" w:space="0"/>
              <w:right w:val="single" w:color="000000" w:sz="4" w:space="0"/>
            </w:tcBorders>
            <w:noWrap w:val="0"/>
            <w:vAlign w:val="center"/>
          </w:tcPr>
          <w:p w14:paraId="50BF8D0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vMerge w:val="continue"/>
            <w:tcBorders>
              <w:left w:val="single" w:color="000000" w:sz="4" w:space="0"/>
              <w:bottom w:val="single" w:color="000000" w:sz="4" w:space="0"/>
              <w:right w:val="single" w:color="000000" w:sz="4" w:space="0"/>
            </w:tcBorders>
            <w:noWrap w:val="0"/>
            <w:vAlign w:val="center"/>
          </w:tcPr>
          <w:p w14:paraId="6D433CC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vMerge w:val="continue"/>
            <w:tcBorders>
              <w:left w:val="single" w:color="000000" w:sz="4" w:space="0"/>
              <w:bottom w:val="single" w:color="000000" w:sz="4" w:space="0"/>
              <w:right w:val="single" w:color="000000" w:sz="4" w:space="0"/>
            </w:tcBorders>
            <w:noWrap w:val="0"/>
            <w:vAlign w:val="center"/>
          </w:tcPr>
          <w:p w14:paraId="02B61F7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default" w:ascii="Times New Roman" w:hAnsi="Times New Roman" w:cs="Times New Roman"/>
                <w:color w:val="auto"/>
                <w:sz w:val="18"/>
                <w:szCs w:val="18"/>
              </w:rPr>
            </w:pP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E04AAB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12</w:t>
            </w:r>
            <w:r>
              <w:rPr>
                <w:rStyle w:val="5"/>
                <w:rFonts w:hint="default" w:ascii="Times New Roman" w:hAnsi="Times New Roman" w:cs="Times New Roman"/>
                <w:color w:val="auto"/>
                <w:sz w:val="18"/>
                <w:szCs w:val="18"/>
                <w:lang w:bidi="ar"/>
              </w:rPr>
              <w:t>小时</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9F1FE9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比</w:t>
            </w:r>
            <w:r>
              <w:rPr>
                <w:rStyle w:val="6"/>
                <w:rFonts w:hint="default" w:ascii="Times New Roman" w:hAnsi="Times New Roman" w:cs="Times New Roman"/>
                <w:color w:val="auto"/>
                <w:sz w:val="18"/>
                <w:szCs w:val="18"/>
                <w:lang w:bidi="ar"/>
              </w:rPr>
              <w:t>2</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192898C2">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80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天</w:t>
            </w:r>
          </w:p>
        </w:tc>
      </w:tr>
      <w:tr w14:paraId="33215B27">
        <w:tblPrEx>
          <w:tblCellMar>
            <w:top w:w="11" w:type="dxa"/>
            <w:left w:w="108" w:type="dxa"/>
            <w:bottom w:w="11" w:type="dxa"/>
            <w:right w:w="108" w:type="dxa"/>
          </w:tblCellMar>
        </w:tblPrEx>
        <w:trPr>
          <w:cantSplit/>
          <w:trHeight w:val="23" w:hRule="atLeast"/>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6407A37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一对多</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班组制</w:t>
            </w:r>
            <w:r>
              <w:rPr>
                <w:rStyle w:val="6"/>
                <w:rFonts w:hint="default" w:ascii="Times New Roman" w:hAnsi="Times New Roman" w:cs="Times New Roman"/>
                <w:color w:val="auto"/>
                <w:sz w:val="18"/>
                <w:szCs w:val="18"/>
                <w:lang w:bidi="ar"/>
              </w:rPr>
              <w:t>)</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8D098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7C171BA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提供与患者自理能力不足的照护需求相对应的服务内容，所有照护行为均需在医务人员指导下或经医务人员同意后进行。</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2.</w:t>
            </w:r>
            <w:r>
              <w:rPr>
                <w:rStyle w:val="5"/>
                <w:rFonts w:hint="default" w:ascii="Times New Roman" w:hAnsi="Times New Roman" w:cs="Times New Roman"/>
                <w:color w:val="auto"/>
                <w:sz w:val="18"/>
                <w:szCs w:val="18"/>
                <w:lang w:bidi="ar"/>
              </w:rPr>
              <w:t>定时巡视病房，协助患者解决临时生活护理问题。</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3.</w:t>
            </w:r>
            <w:r>
              <w:rPr>
                <w:rStyle w:val="5"/>
                <w:rFonts w:hint="default" w:ascii="Times New Roman" w:hAnsi="Times New Roman" w:cs="Times New Roman"/>
                <w:color w:val="auto"/>
                <w:sz w:val="18"/>
                <w:szCs w:val="18"/>
                <w:lang w:bidi="ar"/>
              </w:rPr>
              <w:t>保持环境清洁、床单元规范。</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4.</w:t>
            </w:r>
            <w:r>
              <w:rPr>
                <w:rStyle w:val="5"/>
                <w:rFonts w:hint="default" w:ascii="Times New Roman" w:hAnsi="Times New Roman" w:cs="Times New Roman"/>
                <w:color w:val="auto"/>
                <w:sz w:val="18"/>
                <w:szCs w:val="18"/>
                <w:lang w:bidi="ar"/>
              </w:rPr>
              <w:t>保持患者面部清洁、仪表整洁。</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5.</w:t>
            </w:r>
            <w:r>
              <w:rPr>
                <w:rStyle w:val="5"/>
                <w:rFonts w:hint="default" w:ascii="Times New Roman" w:hAnsi="Times New Roman" w:cs="Times New Roman"/>
                <w:color w:val="auto"/>
                <w:sz w:val="18"/>
                <w:szCs w:val="18"/>
                <w:lang w:bidi="ar"/>
              </w:rPr>
              <w:t>协助送饭到床旁，协助患者饮食、饮水及餐后整理。</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6.</w:t>
            </w:r>
            <w:r>
              <w:rPr>
                <w:rStyle w:val="5"/>
                <w:rFonts w:hint="default" w:ascii="Times New Roman" w:hAnsi="Times New Roman" w:cs="Times New Roman"/>
                <w:color w:val="auto"/>
                <w:sz w:val="18"/>
                <w:szCs w:val="18"/>
                <w:lang w:bidi="ar"/>
              </w:rPr>
              <w:t>在医务人员指导下，提醒患者及时服药、留取大小便标本。</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7.</w:t>
            </w:r>
            <w:r>
              <w:rPr>
                <w:rStyle w:val="5"/>
                <w:rFonts w:hint="default" w:ascii="Times New Roman" w:hAnsi="Times New Roman" w:cs="Times New Roman"/>
                <w:color w:val="auto"/>
                <w:sz w:val="18"/>
                <w:szCs w:val="18"/>
                <w:lang w:bidi="ar"/>
              </w:rPr>
              <w:t>协助做好睡眠照护，布置睡眠环境。</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8.</w:t>
            </w:r>
            <w:r>
              <w:rPr>
                <w:rStyle w:val="5"/>
                <w:rFonts w:hint="default" w:ascii="Times New Roman" w:hAnsi="Times New Roman" w:cs="Times New Roman"/>
                <w:color w:val="auto"/>
                <w:sz w:val="18"/>
                <w:szCs w:val="18"/>
                <w:lang w:bidi="ar"/>
              </w:rPr>
              <w:t>协助护士进行输液巡视。</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9.</w:t>
            </w:r>
            <w:r>
              <w:rPr>
                <w:rStyle w:val="5"/>
                <w:rFonts w:hint="default" w:ascii="Times New Roman" w:hAnsi="Times New Roman" w:cs="Times New Roman"/>
                <w:color w:val="auto"/>
                <w:sz w:val="18"/>
                <w:szCs w:val="18"/>
                <w:lang w:bidi="ar"/>
              </w:rPr>
              <w:t>需要时协助或陪同患者行外出检查。</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10.</w:t>
            </w:r>
            <w:r>
              <w:rPr>
                <w:rStyle w:val="5"/>
                <w:rFonts w:hint="default" w:ascii="Times New Roman" w:hAnsi="Times New Roman" w:cs="Times New Roman"/>
                <w:color w:val="auto"/>
                <w:sz w:val="18"/>
                <w:szCs w:val="18"/>
                <w:lang w:bidi="ar"/>
              </w:rPr>
              <w:t>需要时协助进行标本送检。</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11.</w:t>
            </w:r>
            <w:r>
              <w:rPr>
                <w:rStyle w:val="5"/>
                <w:rFonts w:hint="default" w:ascii="Times New Roman" w:hAnsi="Times New Roman" w:cs="Times New Roman"/>
                <w:color w:val="auto"/>
                <w:sz w:val="18"/>
                <w:szCs w:val="18"/>
                <w:lang w:bidi="ar"/>
              </w:rPr>
              <w:t>协助患者洗漱、服药、上下床移动、清洁尿壶、便盆。</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12.</w:t>
            </w:r>
            <w:r>
              <w:rPr>
                <w:rStyle w:val="5"/>
                <w:rFonts w:hint="default" w:ascii="Times New Roman" w:hAnsi="Times New Roman" w:cs="Times New Roman"/>
                <w:color w:val="auto"/>
                <w:sz w:val="18"/>
                <w:szCs w:val="18"/>
                <w:lang w:bidi="ar"/>
              </w:rPr>
              <w:t>协助患者坐浴、洗脚、泡脚、洗澡、擦浴、上下床移动、穿脱衣服、清洗餐具。</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13.</w:t>
            </w:r>
            <w:r>
              <w:rPr>
                <w:rStyle w:val="5"/>
                <w:rFonts w:hint="default" w:ascii="Times New Roman" w:hAnsi="Times New Roman" w:cs="Times New Roman"/>
                <w:color w:val="auto"/>
                <w:sz w:val="18"/>
                <w:szCs w:val="18"/>
                <w:lang w:bidi="ar"/>
              </w:rPr>
              <w:t>协助如厕、大小便护理。</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F7BD0A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24</w:t>
            </w:r>
            <w:r>
              <w:rPr>
                <w:rStyle w:val="5"/>
                <w:rFonts w:hint="default" w:ascii="Times New Roman" w:hAnsi="Times New Roman" w:cs="Times New Roman"/>
                <w:color w:val="auto"/>
                <w:sz w:val="18"/>
                <w:szCs w:val="18"/>
                <w:lang w:bidi="ar"/>
              </w:rPr>
              <w:t>小时</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B1088F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微软雅黑" w:cs="Times New Roman"/>
                <w:color w:val="auto"/>
                <w:sz w:val="18"/>
                <w:szCs w:val="18"/>
              </w:rPr>
            </w:pPr>
            <w:r>
              <w:rPr>
                <w:rFonts w:hint="default" w:ascii="Times New Roman" w:hAnsi="Times New Roman" w:eastAsia="微软雅黑" w:cs="Times New Roman"/>
                <w:color w:val="auto"/>
                <w:kern w:val="0"/>
                <w:sz w:val="18"/>
                <w:szCs w:val="18"/>
                <w:lang w:bidi="ar"/>
              </w:rPr>
              <w:t>视科室情况而定</w:t>
            </w:r>
            <w:r>
              <w:rPr>
                <w:rFonts w:hint="default" w:ascii="Times New Roman" w:hAnsi="Times New Roman" w:eastAsia="微软雅黑" w:cs="Times New Roman"/>
                <w:color w:val="auto"/>
                <w:kern w:val="0"/>
                <w:sz w:val="18"/>
                <w:szCs w:val="18"/>
                <w:lang w:bidi="ar"/>
              </w:rPr>
              <w:br w:type="textWrapping"/>
            </w:r>
            <w:r>
              <w:rPr>
                <w:rFonts w:hint="default" w:ascii="Times New Roman" w:hAnsi="Times New Roman" w:eastAsia="微软雅黑" w:cs="Times New Roman"/>
                <w:color w:val="auto"/>
                <w:kern w:val="0"/>
                <w:sz w:val="18"/>
                <w:szCs w:val="18"/>
                <w:lang w:bidi="ar"/>
              </w:rPr>
              <w:t>原则上不超过1比8</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2560102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8"/>
                <w:rFonts w:hint="default" w:ascii="Times New Roman" w:hAnsi="Times New Roman" w:cs="Times New Roman"/>
                <w:color w:val="auto"/>
                <w:sz w:val="18"/>
                <w:szCs w:val="18"/>
                <w:lang w:bidi="ar"/>
              </w:rPr>
              <w:t>120</w:t>
            </w:r>
            <w:r>
              <w:rPr>
                <w:rStyle w:val="9"/>
                <w:rFonts w:hint="default" w:ascii="Times New Roman" w:hAnsi="Times New Roman" w:cs="Times New Roman"/>
                <w:color w:val="auto"/>
                <w:sz w:val="18"/>
                <w:szCs w:val="18"/>
                <w:lang w:bidi="ar"/>
              </w:rPr>
              <w:t>元</w:t>
            </w:r>
            <w:r>
              <w:rPr>
                <w:rStyle w:val="8"/>
                <w:rFonts w:hint="default" w:ascii="Times New Roman" w:hAnsi="Times New Roman" w:cs="Times New Roman"/>
                <w:color w:val="auto"/>
                <w:sz w:val="18"/>
                <w:szCs w:val="18"/>
                <w:lang w:bidi="ar"/>
              </w:rPr>
              <w:t>/</w:t>
            </w:r>
            <w:r>
              <w:rPr>
                <w:rStyle w:val="9"/>
                <w:rFonts w:hint="default" w:ascii="Times New Roman" w:hAnsi="Times New Roman" w:cs="Times New Roman"/>
                <w:color w:val="auto"/>
                <w:sz w:val="18"/>
                <w:szCs w:val="18"/>
                <w:lang w:bidi="ar"/>
              </w:rPr>
              <w:t>天</w:t>
            </w:r>
          </w:p>
        </w:tc>
      </w:tr>
      <w:tr w14:paraId="0A1BB9E2">
        <w:tblPrEx>
          <w:tblCellMar>
            <w:top w:w="11" w:type="dxa"/>
            <w:left w:w="108" w:type="dxa"/>
            <w:bottom w:w="11" w:type="dxa"/>
            <w:right w:w="108" w:type="dxa"/>
          </w:tblCellMar>
        </w:tblPrEx>
        <w:trPr>
          <w:cantSplit/>
          <w:trHeight w:val="23" w:hRule="atLeast"/>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448406F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一对多</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4B32C2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4416258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left"/>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同上</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0ED59D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12</w:t>
            </w:r>
            <w:r>
              <w:rPr>
                <w:rStyle w:val="5"/>
                <w:rFonts w:hint="default" w:ascii="Times New Roman" w:hAnsi="Times New Roman" w:cs="Times New Roman"/>
                <w:color w:val="auto"/>
                <w:sz w:val="18"/>
                <w:szCs w:val="18"/>
                <w:lang w:bidi="ar"/>
              </w:rPr>
              <w:t>小时</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A82FC0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7B81F5E2">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8"/>
                <w:rFonts w:hint="default" w:ascii="Times New Roman" w:hAnsi="Times New Roman" w:cs="Times New Roman"/>
                <w:color w:val="auto"/>
                <w:sz w:val="18"/>
                <w:szCs w:val="18"/>
                <w:lang w:bidi="ar"/>
              </w:rPr>
              <w:t>70</w:t>
            </w:r>
            <w:r>
              <w:rPr>
                <w:rStyle w:val="9"/>
                <w:rFonts w:hint="default" w:ascii="Times New Roman" w:hAnsi="Times New Roman" w:cs="Times New Roman"/>
                <w:color w:val="auto"/>
                <w:sz w:val="18"/>
                <w:szCs w:val="18"/>
                <w:lang w:bidi="ar"/>
              </w:rPr>
              <w:t>元</w:t>
            </w:r>
            <w:r>
              <w:rPr>
                <w:rStyle w:val="8"/>
                <w:rFonts w:hint="default" w:ascii="Times New Roman" w:hAnsi="Times New Roman" w:cs="Times New Roman"/>
                <w:color w:val="auto"/>
                <w:sz w:val="18"/>
                <w:szCs w:val="18"/>
                <w:lang w:bidi="ar"/>
              </w:rPr>
              <w:t>/</w:t>
            </w:r>
            <w:r>
              <w:rPr>
                <w:rStyle w:val="9"/>
                <w:rFonts w:hint="default" w:ascii="Times New Roman" w:hAnsi="Times New Roman" w:cs="Times New Roman"/>
                <w:color w:val="auto"/>
                <w:sz w:val="18"/>
                <w:szCs w:val="18"/>
                <w:lang w:bidi="ar"/>
              </w:rPr>
              <w:t>天</w:t>
            </w:r>
          </w:p>
        </w:tc>
      </w:tr>
      <w:tr w14:paraId="51646B78">
        <w:tblPrEx>
          <w:tblCellMar>
            <w:top w:w="11" w:type="dxa"/>
            <w:left w:w="108" w:type="dxa"/>
            <w:bottom w:w="11" w:type="dxa"/>
            <w:right w:w="108" w:type="dxa"/>
          </w:tblCellMar>
        </w:tblPrEx>
        <w:trPr>
          <w:cantSplit/>
          <w:trHeight w:val="23" w:hRule="atLeast"/>
          <w:jc w:val="center"/>
        </w:trPr>
        <w:tc>
          <w:tcPr>
            <w:tcW w:w="976" w:type="dxa"/>
            <w:vMerge w:val="restart"/>
            <w:tcBorders>
              <w:top w:val="single" w:color="000000" w:sz="4" w:space="0"/>
              <w:left w:val="single" w:color="000000" w:sz="4" w:space="0"/>
              <w:bottom w:val="single" w:color="000000" w:sz="4" w:space="0"/>
              <w:right w:val="single" w:color="000000" w:sz="4" w:space="0"/>
            </w:tcBorders>
            <w:noWrap w:val="0"/>
            <w:vAlign w:val="center"/>
          </w:tcPr>
          <w:p w14:paraId="2C7D32C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基础生活照护服务</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619ACC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三级</w:t>
            </w: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2BF2725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提供与患者自理能力不足的照护需求相对应的服务内容，所有照护行为均需在医务人员指导下或经医务人员同意后进行。</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2.</w:t>
            </w:r>
            <w:r>
              <w:rPr>
                <w:rStyle w:val="5"/>
                <w:rFonts w:hint="default" w:ascii="Times New Roman" w:hAnsi="Times New Roman" w:cs="Times New Roman"/>
                <w:color w:val="auto"/>
                <w:sz w:val="18"/>
                <w:szCs w:val="18"/>
                <w:lang w:bidi="ar"/>
              </w:rPr>
              <w:t>定时巡视病房，与病人沟通交流，了解病人需求，协助患者解决临时生活护理问题。</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3.</w:t>
            </w:r>
            <w:r>
              <w:rPr>
                <w:rStyle w:val="5"/>
                <w:rFonts w:hint="default" w:ascii="Times New Roman" w:hAnsi="Times New Roman" w:cs="Times New Roman"/>
                <w:color w:val="auto"/>
                <w:sz w:val="18"/>
                <w:szCs w:val="18"/>
                <w:lang w:bidi="ar"/>
              </w:rPr>
              <w:t>保持环境清洁、床单元规范。</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4.</w:t>
            </w:r>
            <w:r>
              <w:rPr>
                <w:rStyle w:val="5"/>
                <w:rFonts w:hint="default" w:ascii="Times New Roman" w:hAnsi="Times New Roman" w:cs="Times New Roman"/>
                <w:color w:val="auto"/>
                <w:sz w:val="18"/>
                <w:szCs w:val="18"/>
                <w:lang w:bidi="ar"/>
              </w:rPr>
              <w:t>保持患者面部清洁、仪表整洁、剃须、修剪指</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趾甲。</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5.</w:t>
            </w:r>
            <w:r>
              <w:rPr>
                <w:rStyle w:val="5"/>
                <w:rFonts w:hint="default" w:ascii="Times New Roman" w:hAnsi="Times New Roman" w:cs="Times New Roman"/>
                <w:color w:val="auto"/>
                <w:sz w:val="18"/>
                <w:szCs w:val="18"/>
                <w:lang w:bidi="ar"/>
              </w:rPr>
              <w:t>协助患者如厕及进行大小便护理。</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6.</w:t>
            </w:r>
            <w:r>
              <w:rPr>
                <w:rStyle w:val="5"/>
                <w:rFonts w:hint="default" w:ascii="Times New Roman" w:hAnsi="Times New Roman" w:cs="Times New Roman"/>
                <w:color w:val="auto"/>
                <w:sz w:val="18"/>
                <w:szCs w:val="18"/>
                <w:lang w:bidi="ar"/>
              </w:rPr>
              <w:t>协助送饭到床旁，协助患者饮食、饮水，必要时记录进食量、饮水情况，反馈异常（如呛咳、食欲不振）。餐后清洁口腔、整理餐具及餐桌。</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7.</w:t>
            </w:r>
            <w:r>
              <w:rPr>
                <w:rStyle w:val="5"/>
                <w:rFonts w:hint="default" w:ascii="Times New Roman" w:hAnsi="Times New Roman" w:cs="Times New Roman"/>
                <w:color w:val="auto"/>
                <w:sz w:val="18"/>
                <w:szCs w:val="18"/>
                <w:lang w:bidi="ar"/>
              </w:rPr>
              <w:t>在医务人员指导下，提醒患者及时服药并确认药物已服下，留取大小便标本。</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8.</w:t>
            </w:r>
            <w:r>
              <w:rPr>
                <w:rStyle w:val="5"/>
                <w:rFonts w:hint="default" w:ascii="Times New Roman" w:hAnsi="Times New Roman" w:cs="Times New Roman"/>
                <w:color w:val="auto"/>
                <w:sz w:val="18"/>
                <w:szCs w:val="18"/>
                <w:lang w:bidi="ar"/>
              </w:rPr>
              <w:t>协助做好睡眠照护，布置睡眠环境。观察睡眠情况，记录异常。</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9.</w:t>
            </w:r>
            <w:r>
              <w:rPr>
                <w:rStyle w:val="5"/>
                <w:rFonts w:hint="default" w:ascii="Times New Roman" w:hAnsi="Times New Roman" w:cs="Times New Roman"/>
                <w:color w:val="auto"/>
                <w:sz w:val="18"/>
                <w:szCs w:val="18"/>
                <w:lang w:bidi="ar"/>
              </w:rPr>
              <w:t>协助护士进行输液巡视。观察输液速度，穿刺部位有无肿胀或渗漏。</w:t>
            </w:r>
            <w:r>
              <w:rPr>
                <w:rStyle w:val="6"/>
                <w:rFonts w:hint="default" w:ascii="Times New Roman" w:hAnsi="Times New Roman" w:cs="Times New Roman"/>
                <w:color w:val="auto"/>
                <w:sz w:val="18"/>
                <w:szCs w:val="18"/>
                <w:lang w:bidi="ar"/>
              </w:rPr>
              <w:t xml:space="preserve">  </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10.</w:t>
            </w:r>
            <w:r>
              <w:rPr>
                <w:rStyle w:val="5"/>
                <w:rFonts w:hint="default" w:ascii="Times New Roman" w:hAnsi="Times New Roman" w:cs="Times New Roman"/>
                <w:color w:val="auto"/>
                <w:sz w:val="18"/>
                <w:szCs w:val="18"/>
                <w:lang w:bidi="ar"/>
              </w:rPr>
              <w:t>需要时协助或陪同患者行外出检查。</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11.</w:t>
            </w:r>
            <w:r>
              <w:rPr>
                <w:rStyle w:val="5"/>
                <w:rFonts w:hint="default" w:ascii="Times New Roman" w:hAnsi="Times New Roman" w:cs="Times New Roman"/>
                <w:color w:val="auto"/>
                <w:sz w:val="18"/>
                <w:szCs w:val="18"/>
                <w:lang w:bidi="ar"/>
              </w:rPr>
              <w:t>需要时协助进行标本送检。</w:t>
            </w:r>
          </w:p>
        </w:tc>
        <w:tc>
          <w:tcPr>
            <w:tcW w:w="986" w:type="dxa"/>
            <w:vMerge w:val="restart"/>
            <w:tcBorders>
              <w:top w:val="single" w:color="000000" w:sz="4" w:space="0"/>
              <w:left w:val="single" w:color="000000" w:sz="4" w:space="0"/>
              <w:bottom w:val="single" w:color="000000" w:sz="4" w:space="0"/>
              <w:right w:val="single" w:color="000000" w:sz="4" w:space="0"/>
            </w:tcBorders>
            <w:noWrap w:val="0"/>
            <w:vAlign w:val="center"/>
          </w:tcPr>
          <w:p w14:paraId="2A7DA85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6EBBCE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7C7C406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13</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天</w:t>
            </w:r>
          </w:p>
        </w:tc>
      </w:tr>
      <w:tr w14:paraId="1661296A">
        <w:tblPrEx>
          <w:tblCellMar>
            <w:top w:w="11" w:type="dxa"/>
            <w:left w:w="108" w:type="dxa"/>
            <w:bottom w:w="11" w:type="dxa"/>
            <w:right w:w="108" w:type="dxa"/>
          </w:tblCellMar>
        </w:tblPrEx>
        <w:trPr>
          <w:cantSplit/>
          <w:trHeight w:val="23"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32AB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42E7A03">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Style w:val="5"/>
                <w:rFonts w:hint="default" w:ascii="Times New Roman" w:hAnsi="Times New Roman" w:cs="Times New Roman"/>
                <w:color w:val="auto"/>
                <w:sz w:val="18"/>
                <w:szCs w:val="18"/>
                <w:lang w:bidi="ar"/>
              </w:rPr>
            </w:pPr>
            <w:r>
              <w:rPr>
                <w:rStyle w:val="5"/>
                <w:rFonts w:hint="default" w:ascii="Times New Roman" w:hAnsi="Times New Roman" w:cs="Times New Roman"/>
                <w:color w:val="auto"/>
                <w:sz w:val="18"/>
                <w:szCs w:val="18"/>
                <w:lang w:bidi="ar"/>
              </w:rPr>
              <w:t>二级</w:t>
            </w: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13A0858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在基础生活照护的基础上，提供与患者自理能力不足的照护需求相对应的服务内容，所有照护行为均需在医务人员指导下或经医务人员同意后进行。</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2.</w:t>
            </w:r>
            <w:r>
              <w:rPr>
                <w:rStyle w:val="5"/>
                <w:rFonts w:hint="default" w:ascii="Times New Roman" w:hAnsi="Times New Roman" w:cs="Times New Roman"/>
                <w:color w:val="auto"/>
                <w:sz w:val="18"/>
                <w:szCs w:val="18"/>
                <w:lang w:bidi="ar"/>
              </w:rPr>
              <w:t>协助患者洗漱、擦身、翻身、扣背、服药、清洗餐具、上下床移动、清洁尿壶、便盆。</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3.</w:t>
            </w:r>
            <w:r>
              <w:rPr>
                <w:rStyle w:val="5"/>
                <w:rFonts w:hint="default" w:ascii="Times New Roman" w:hAnsi="Times New Roman" w:cs="Times New Roman"/>
                <w:color w:val="auto"/>
                <w:sz w:val="18"/>
                <w:szCs w:val="18"/>
                <w:lang w:bidi="ar"/>
              </w:rPr>
              <w:t>在医务人员指导下，协助进行康复训练。协助患者正确使用拐杖、助行器，并确保安全。</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4.</w:t>
            </w:r>
            <w:r>
              <w:rPr>
                <w:rStyle w:val="5"/>
                <w:rFonts w:hint="default" w:ascii="Times New Roman" w:hAnsi="Times New Roman" w:cs="Times New Roman"/>
                <w:color w:val="auto"/>
                <w:sz w:val="18"/>
                <w:szCs w:val="18"/>
                <w:lang w:bidi="ar"/>
              </w:rPr>
              <w:t>重视患者情绪，与患者及其家属有效沟通与交流。</w:t>
            </w:r>
          </w:p>
        </w:tc>
        <w:tc>
          <w:tcPr>
            <w:tcW w:w="9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A0500">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9C73EA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55D1E9B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30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天</w:t>
            </w:r>
          </w:p>
        </w:tc>
      </w:tr>
      <w:tr w14:paraId="06D388CF">
        <w:tblPrEx>
          <w:tblCellMar>
            <w:top w:w="11" w:type="dxa"/>
            <w:left w:w="108" w:type="dxa"/>
            <w:bottom w:w="11" w:type="dxa"/>
            <w:right w:w="108" w:type="dxa"/>
          </w:tblCellMar>
        </w:tblPrEx>
        <w:trPr>
          <w:cantSplit/>
          <w:trHeight w:val="23"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8D71F">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4ABA2C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一级</w:t>
            </w: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781ECD2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w:t>
            </w:r>
            <w:r>
              <w:rPr>
                <w:rStyle w:val="5"/>
                <w:rFonts w:hint="default" w:ascii="Times New Roman" w:hAnsi="Times New Roman" w:cs="Times New Roman"/>
                <w:color w:val="auto"/>
                <w:sz w:val="18"/>
                <w:szCs w:val="18"/>
                <w:lang w:bidi="ar"/>
              </w:rPr>
              <w:t>在二级生活照护的基础上，提供与患者自理能力不足的照护需求相对应的服务内容，所有照护行为均需在医务人员指导下或经医务人员同意后进行。</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2.</w:t>
            </w:r>
            <w:r>
              <w:rPr>
                <w:rStyle w:val="5"/>
                <w:rFonts w:hint="default" w:ascii="Times New Roman" w:hAnsi="Times New Roman" w:cs="Times New Roman"/>
                <w:color w:val="auto"/>
                <w:sz w:val="18"/>
                <w:szCs w:val="18"/>
                <w:lang w:bidi="ar"/>
              </w:rPr>
              <w:t>协助完成日常活动，包括辅助自主进食、帮助患者擦浴、洗脚、泡脚以及穿脱衣物。</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3.</w:t>
            </w:r>
            <w:r>
              <w:rPr>
                <w:rStyle w:val="5"/>
                <w:rFonts w:hint="default" w:ascii="Times New Roman" w:hAnsi="Times New Roman" w:cs="Times New Roman"/>
                <w:color w:val="auto"/>
                <w:sz w:val="18"/>
                <w:szCs w:val="18"/>
                <w:lang w:bidi="ar"/>
              </w:rPr>
              <w:t>协助患者大小便护理，确保对排泄物样本进行妥善观察和采集。</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4.</w:t>
            </w:r>
            <w:r>
              <w:rPr>
                <w:rStyle w:val="5"/>
                <w:rFonts w:hint="default" w:ascii="Times New Roman" w:hAnsi="Times New Roman" w:cs="Times New Roman"/>
                <w:color w:val="auto"/>
                <w:sz w:val="18"/>
                <w:szCs w:val="18"/>
                <w:lang w:bidi="ar"/>
              </w:rPr>
              <w:t>保持肢体功能位，协助进行简单的肢体活动如协助患者翻身，关节屈伸等。</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5.</w:t>
            </w:r>
            <w:r>
              <w:rPr>
                <w:rStyle w:val="5"/>
                <w:rFonts w:hint="default" w:ascii="Times New Roman" w:hAnsi="Times New Roman" w:cs="Times New Roman"/>
                <w:color w:val="auto"/>
                <w:sz w:val="18"/>
                <w:szCs w:val="18"/>
                <w:lang w:bidi="ar"/>
              </w:rPr>
              <w:t>重视患者在饮食、用药、心理等多方面的需求，及时、准确地向医护人员提供反馈信息。</w:t>
            </w:r>
            <w:r>
              <w:rPr>
                <w:rStyle w:val="6"/>
                <w:rFonts w:hint="default" w:ascii="Times New Roman" w:hAnsi="Times New Roman" w:cs="Times New Roman"/>
                <w:color w:val="auto"/>
                <w:sz w:val="18"/>
                <w:szCs w:val="18"/>
                <w:lang w:bidi="ar"/>
              </w:rPr>
              <w:br w:type="textWrapping"/>
            </w:r>
            <w:r>
              <w:rPr>
                <w:rStyle w:val="6"/>
                <w:rFonts w:hint="default" w:ascii="Times New Roman" w:hAnsi="Times New Roman" w:cs="Times New Roman"/>
                <w:color w:val="auto"/>
                <w:sz w:val="18"/>
                <w:szCs w:val="18"/>
                <w:lang w:bidi="ar"/>
              </w:rPr>
              <w:t>6.</w:t>
            </w:r>
            <w:r>
              <w:rPr>
                <w:rStyle w:val="5"/>
                <w:rFonts w:hint="default" w:ascii="Times New Roman" w:hAnsi="Times New Roman" w:cs="Times New Roman"/>
                <w:color w:val="auto"/>
                <w:sz w:val="18"/>
                <w:szCs w:val="18"/>
                <w:lang w:bidi="ar"/>
              </w:rPr>
              <w:t>为患者进行各项检查预约，根据预约时间按时接送患者完成各项检查并送回病房。</w:t>
            </w:r>
          </w:p>
        </w:tc>
        <w:tc>
          <w:tcPr>
            <w:tcW w:w="9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5366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567138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1417CE6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60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天</w:t>
            </w:r>
          </w:p>
        </w:tc>
      </w:tr>
      <w:tr w14:paraId="2B885B1D">
        <w:tblPrEx>
          <w:tblCellMar>
            <w:top w:w="11" w:type="dxa"/>
            <w:left w:w="108" w:type="dxa"/>
            <w:bottom w:w="11" w:type="dxa"/>
            <w:right w:w="108" w:type="dxa"/>
          </w:tblCellMar>
        </w:tblPrEx>
        <w:trPr>
          <w:cantSplit/>
          <w:trHeight w:val="23" w:hRule="atLeast"/>
          <w:jc w:val="center"/>
        </w:trPr>
        <w:tc>
          <w:tcPr>
            <w:tcW w:w="9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2DC0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Style w:val="5"/>
                <w:rFonts w:hint="default" w:ascii="Times New Roman" w:hAnsi="Times New Roman" w:cs="Times New Roman"/>
                <w:color w:val="auto"/>
                <w:sz w:val="18"/>
                <w:szCs w:val="18"/>
                <w:lang w:bidi="ar"/>
              </w:rPr>
            </w:pPr>
            <w:r>
              <w:rPr>
                <w:rStyle w:val="5"/>
                <w:rFonts w:hint="default" w:ascii="Times New Roman" w:hAnsi="Times New Roman" w:cs="Times New Roman"/>
                <w:color w:val="auto"/>
                <w:sz w:val="18"/>
                <w:szCs w:val="18"/>
                <w:lang w:bidi="ar"/>
              </w:rPr>
              <w:t>一次性服务</w:t>
            </w:r>
          </w:p>
          <w:p w14:paraId="63F7DBB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both"/>
              <w:textAlignment w:val="center"/>
              <w:rPr>
                <w:rStyle w:val="5"/>
                <w:rFonts w:hint="default" w:ascii="Times New Roman" w:hAnsi="Times New Roman" w:cs="Times New Roman"/>
                <w:color w:val="auto"/>
                <w:sz w:val="18"/>
                <w:szCs w:val="18"/>
                <w:lang w:bidi="ar"/>
              </w:rPr>
            </w:pPr>
          </w:p>
          <w:p w14:paraId="3D0F0B7E">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Style w:val="5"/>
                <w:rFonts w:hint="default" w:ascii="Times New Roman" w:hAnsi="Times New Roman" w:cs="Times New Roman"/>
                <w:color w:val="auto"/>
                <w:sz w:val="18"/>
                <w:szCs w:val="18"/>
                <w:lang w:bidi="ar"/>
              </w:rPr>
            </w:pPr>
            <w:r>
              <w:rPr>
                <w:rStyle w:val="5"/>
                <w:rFonts w:hint="default" w:ascii="Times New Roman" w:hAnsi="Times New Roman" w:cs="Times New Roman"/>
                <w:color w:val="auto"/>
                <w:sz w:val="18"/>
                <w:szCs w:val="18"/>
                <w:lang w:bidi="ar"/>
              </w:rPr>
              <w:t>一次性服务</w:t>
            </w:r>
          </w:p>
        </w:tc>
        <w:tc>
          <w:tcPr>
            <w:tcW w:w="990" w:type="dxa"/>
            <w:tcBorders>
              <w:top w:val="nil"/>
              <w:left w:val="nil"/>
              <w:bottom w:val="nil"/>
              <w:right w:val="nil"/>
            </w:tcBorders>
            <w:noWrap w:val="0"/>
            <w:vAlign w:val="center"/>
          </w:tcPr>
          <w:p w14:paraId="16AECAA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14E30B9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床上洗剪吹服务</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54F5338">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4FD994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3F2772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40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次</w:t>
            </w:r>
          </w:p>
        </w:tc>
      </w:tr>
      <w:tr w14:paraId="7F62D2B0">
        <w:tblPrEx>
          <w:tblCellMar>
            <w:top w:w="11" w:type="dxa"/>
            <w:left w:w="108" w:type="dxa"/>
            <w:bottom w:w="11" w:type="dxa"/>
            <w:right w:w="108" w:type="dxa"/>
          </w:tblCellMar>
        </w:tblPrEx>
        <w:trPr>
          <w:cantSplit/>
          <w:trHeight w:val="23"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DA474">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CE934A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1DA0F7E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床上洗头服务</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37F36A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B53A70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0688DE0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25</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次</w:t>
            </w:r>
          </w:p>
        </w:tc>
      </w:tr>
      <w:tr w14:paraId="63516C0C">
        <w:tblPrEx>
          <w:tblCellMar>
            <w:top w:w="11" w:type="dxa"/>
            <w:left w:w="108" w:type="dxa"/>
            <w:bottom w:w="11" w:type="dxa"/>
            <w:right w:w="108" w:type="dxa"/>
          </w:tblCellMar>
        </w:tblPrEx>
        <w:trPr>
          <w:cantSplit/>
          <w:trHeight w:val="23"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9350C">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31FABA">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75FEFE13">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床上洗浴服务</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9FAAF4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D57588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02897D8E">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30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次</w:t>
            </w:r>
          </w:p>
        </w:tc>
      </w:tr>
      <w:tr w14:paraId="4DB5B4D9">
        <w:tblPrEx>
          <w:tblCellMar>
            <w:top w:w="11" w:type="dxa"/>
            <w:left w:w="108" w:type="dxa"/>
            <w:bottom w:w="11" w:type="dxa"/>
            <w:right w:w="108" w:type="dxa"/>
          </w:tblCellMar>
        </w:tblPrEx>
        <w:trPr>
          <w:cantSplit/>
          <w:trHeight w:val="23"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C04ED">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00058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701D4F2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床上清洗大小便</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3D3667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0143FB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59EB73F9">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30</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次</w:t>
            </w:r>
          </w:p>
        </w:tc>
      </w:tr>
      <w:tr w14:paraId="43B86465">
        <w:tblPrEx>
          <w:tblCellMar>
            <w:top w:w="11" w:type="dxa"/>
            <w:left w:w="108" w:type="dxa"/>
            <w:bottom w:w="11" w:type="dxa"/>
            <w:right w:w="108" w:type="dxa"/>
          </w:tblCellMar>
        </w:tblPrEx>
        <w:trPr>
          <w:cantSplit/>
          <w:trHeight w:val="23"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29252">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C06FAD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4B69348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床上修剪头发</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9E88E0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A8FC4E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EF82CD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18"/>
                <w:szCs w:val="18"/>
              </w:rPr>
            </w:pPr>
            <w:r>
              <w:rPr>
                <w:rStyle w:val="6"/>
                <w:rFonts w:hint="default" w:ascii="Times New Roman" w:hAnsi="Times New Roman" w:cs="Times New Roman"/>
                <w:color w:val="auto"/>
                <w:sz w:val="18"/>
                <w:szCs w:val="18"/>
                <w:lang w:bidi="ar"/>
              </w:rPr>
              <w:t>15</w:t>
            </w:r>
            <w:r>
              <w:rPr>
                <w:rStyle w:val="5"/>
                <w:rFonts w:hint="default" w:ascii="Times New Roman" w:hAnsi="Times New Roman" w:cs="Times New Roman"/>
                <w:color w:val="auto"/>
                <w:sz w:val="18"/>
                <w:szCs w:val="18"/>
                <w:lang w:bidi="ar"/>
              </w:rPr>
              <w:t>元</w:t>
            </w:r>
            <w:r>
              <w:rPr>
                <w:rStyle w:val="6"/>
                <w:rFonts w:hint="default" w:ascii="Times New Roman" w:hAnsi="Times New Roman" w:cs="Times New Roman"/>
                <w:color w:val="auto"/>
                <w:sz w:val="18"/>
                <w:szCs w:val="18"/>
                <w:lang w:bidi="ar"/>
              </w:rPr>
              <w:t>/</w:t>
            </w:r>
            <w:r>
              <w:rPr>
                <w:rStyle w:val="5"/>
                <w:rFonts w:hint="default" w:ascii="Times New Roman" w:hAnsi="Times New Roman" w:cs="Times New Roman"/>
                <w:color w:val="auto"/>
                <w:sz w:val="18"/>
                <w:szCs w:val="18"/>
                <w:lang w:bidi="ar"/>
              </w:rPr>
              <w:t>次</w:t>
            </w:r>
          </w:p>
        </w:tc>
      </w:tr>
      <w:tr w14:paraId="36B82691">
        <w:tblPrEx>
          <w:tblCellMar>
            <w:top w:w="11" w:type="dxa"/>
            <w:left w:w="108" w:type="dxa"/>
            <w:bottom w:w="11" w:type="dxa"/>
            <w:right w:w="108" w:type="dxa"/>
          </w:tblCellMar>
        </w:tblPrEx>
        <w:trPr>
          <w:cantSplit/>
          <w:trHeight w:val="90" w:hRule="atLeast"/>
          <w:jc w:val="center"/>
        </w:trPr>
        <w:tc>
          <w:tcPr>
            <w:tcW w:w="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B5329">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EB53B27">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4785" w:type="dxa"/>
            <w:tcBorders>
              <w:top w:val="single" w:color="000000" w:sz="4" w:space="0"/>
              <w:left w:val="single" w:color="000000" w:sz="4" w:space="0"/>
              <w:bottom w:val="single" w:color="000000" w:sz="4" w:space="0"/>
              <w:right w:val="single" w:color="000000" w:sz="4" w:space="0"/>
            </w:tcBorders>
            <w:noWrap w:val="0"/>
            <w:vAlign w:val="center"/>
          </w:tcPr>
          <w:p w14:paraId="209A1B4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default" w:ascii="Times New Roman" w:hAnsi="Times New Roman" w:cs="Times New Roman"/>
                <w:color w:val="auto"/>
                <w:sz w:val="18"/>
                <w:szCs w:val="18"/>
              </w:rPr>
            </w:pPr>
            <w:r>
              <w:rPr>
                <w:rStyle w:val="5"/>
                <w:rFonts w:hint="default" w:ascii="Times New Roman" w:hAnsi="Times New Roman" w:cs="Times New Roman"/>
                <w:color w:val="auto"/>
                <w:sz w:val="18"/>
                <w:szCs w:val="18"/>
                <w:lang w:bidi="ar"/>
              </w:rPr>
              <w:t>其他</w:t>
            </w:r>
            <w:r>
              <w:rPr>
                <w:rStyle w:val="6"/>
                <w:rFonts w:hint="default" w:ascii="Times New Roman" w:hAnsi="Times New Roman" w:cs="Times New Roman"/>
                <w:color w:val="auto"/>
                <w:sz w:val="18"/>
                <w:szCs w:val="18"/>
                <w:lang w:bidi="ar"/>
              </w:rPr>
              <w:t>……</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D02A3BE">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0F86AC6">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2BA9926B">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cs="Times New Roman"/>
                <w:color w:val="auto"/>
                <w:sz w:val="18"/>
                <w:szCs w:val="18"/>
              </w:rPr>
            </w:pPr>
          </w:p>
        </w:tc>
      </w:tr>
    </w:tbl>
    <w:p w14:paraId="1842495A">
      <w:pPr>
        <w:keepNext w:val="0"/>
        <w:keepLines w:val="0"/>
        <w:pageBreakBefore w:val="0"/>
        <w:kinsoku/>
        <w:wordWrap/>
        <w:overflowPunct/>
        <w:topLinePunct w:val="0"/>
        <w:autoSpaceDE/>
        <w:autoSpaceDN/>
        <w:bidi w:val="0"/>
        <w:adjustRightInd/>
        <w:snapToGrid/>
        <w:spacing w:line="440" w:lineRule="exact"/>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四、医院提供的支持</w:t>
      </w:r>
    </w:p>
    <w:p w14:paraId="78F66AE0">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（一）采购方将在合同期限内提供/推荐办公场地，主要用于服务商管理人员日常办公。采购方不为服务商提供员工住宿。</w:t>
      </w:r>
    </w:p>
    <w:p w14:paraId="407385FC">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（二）按照各项管理规定及医疗护理员工作职责、职业守则、服务规范，对服务商工作进行指导、监督和检查。</w:t>
      </w:r>
    </w:p>
    <w:p w14:paraId="33393C4F">
      <w:pPr>
        <w:keepNext w:val="0"/>
        <w:keepLines w:val="0"/>
        <w:pageBreakBefore w:val="0"/>
        <w:kinsoku/>
        <w:wordWrap/>
        <w:overflowPunct/>
        <w:topLinePunct w:val="0"/>
        <w:autoSpaceDE/>
        <w:autoSpaceDN/>
        <w:bidi w:val="0"/>
        <w:adjustRightInd/>
        <w:snapToGrid/>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（三）协助服务商处理在工作中可能出现的投诉、争议及纠纷。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76302E"/>
    <w:rsid w:val="0F157F19"/>
    <w:rsid w:val="11774C52"/>
    <w:rsid w:val="1B0575FE"/>
    <w:rsid w:val="344658EC"/>
    <w:rsid w:val="6F5050DE"/>
    <w:rsid w:val="7C282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71"/>
    <w:basedOn w:val="3"/>
    <w:qFormat/>
    <w:uiPriority w:val="0"/>
    <w:rPr>
      <w:rFonts w:ascii="微软雅黑" w:hAnsi="微软雅黑" w:eastAsia="微软雅黑" w:cs="微软雅黑"/>
      <w:b/>
      <w:bCs/>
      <w:color w:val="000000"/>
      <w:sz w:val="24"/>
      <w:szCs w:val="24"/>
      <w:u w:val="none"/>
    </w:rPr>
  </w:style>
  <w:style w:type="character" w:customStyle="1" w:styleId="5">
    <w:name w:val="font51"/>
    <w:basedOn w:val="3"/>
    <w:qFormat/>
    <w:uiPriority w:val="0"/>
    <w:rPr>
      <w:rFonts w:hint="eastAsia" w:ascii="微软雅黑" w:hAnsi="微软雅黑" w:eastAsia="微软雅黑" w:cs="微软雅黑"/>
      <w:color w:val="000000"/>
      <w:sz w:val="24"/>
      <w:szCs w:val="24"/>
      <w:u w:val="none"/>
    </w:rPr>
  </w:style>
  <w:style w:type="character" w:customStyle="1" w:styleId="6">
    <w:name w:val="font31"/>
    <w:basedOn w:val="3"/>
    <w:qFormat/>
    <w:uiPriority w:val="0"/>
    <w:rPr>
      <w:rFonts w:hint="default" w:ascii="Times New Roman" w:hAnsi="Times New Roman" w:cs="Times New Roman"/>
      <w:color w:val="000000"/>
      <w:sz w:val="24"/>
      <w:szCs w:val="24"/>
      <w:u w:val="none"/>
    </w:rPr>
  </w:style>
  <w:style w:type="character" w:customStyle="1" w:styleId="7">
    <w:name w:val="font81"/>
    <w:basedOn w:val="3"/>
    <w:qFormat/>
    <w:uiPriority w:val="0"/>
    <w:rPr>
      <w:rFonts w:hint="eastAsia" w:ascii="宋体" w:hAnsi="宋体" w:eastAsia="宋体" w:cs="宋体"/>
      <w:color w:val="000000"/>
      <w:sz w:val="24"/>
      <w:szCs w:val="24"/>
      <w:u w:val="none"/>
    </w:rPr>
  </w:style>
  <w:style w:type="character" w:customStyle="1" w:styleId="8">
    <w:name w:val="font61"/>
    <w:basedOn w:val="3"/>
    <w:qFormat/>
    <w:uiPriority w:val="0"/>
    <w:rPr>
      <w:rFonts w:hint="default" w:ascii="Times New Roman" w:hAnsi="Times New Roman" w:cs="Times New Roman"/>
      <w:color w:val="000000"/>
      <w:sz w:val="24"/>
      <w:szCs w:val="24"/>
      <w:u w:val="none"/>
    </w:rPr>
  </w:style>
  <w:style w:type="character" w:customStyle="1" w:styleId="9">
    <w:name w:val="font91"/>
    <w:basedOn w:val="3"/>
    <w:qFormat/>
    <w:uiPriority w:val="0"/>
    <w:rPr>
      <w:rFonts w:hint="eastAsia"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3554</Words>
  <Characters>3643</Characters>
  <Lines>0</Lines>
  <Paragraphs>0</Paragraphs>
  <TotalTime>2</TotalTime>
  <ScaleCrop>false</ScaleCrop>
  <LinksUpToDate>false</LinksUpToDate>
  <CharactersWithSpaces>3644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2026-09-15T07:15:00Z</dcterms:created>
  <dc:creator>Administrator</dc:creator>
  <cp:lastModifiedBy>卢远</cp:lastModifiedBy>
  <dcterms:modified xsi:type="dcterms:W3CDTF">2026-09-24T08:24:40Z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eyJoZGlkIjoiMTg3NmYyM2E0OTJjZmJlM2NiNmFmMDhmMTJiYjY5ZDEiLCJ1c2VySWQiOiIxOTA5MzQ5MDY5In0=</vt:lpwstr>
  </property>
  <property fmtid="{D5CDD505-2E9C-101B-9397-08002B2CF9AE}" pid="4" name="ICV">
    <vt:lpwstr>F8AAFE3663FA4D6EA69A40D35E8D197A_12</vt:lpwstr>
  </property>
</Properties>
</file>