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89FD">
      <w:pPr>
        <w:pStyle w:val="2"/>
        <w:spacing w:before="0" w:after="0" w:line="480" w:lineRule="exact"/>
        <w:jc w:val="center"/>
        <w:rPr>
          <w:rFonts w:ascii="方正粗黑宋简体" w:hAnsi="方正粗黑宋简体" w:eastAsia="方正粗黑宋简体" w:cs="方正小标宋简体"/>
          <w:sz w:val="44"/>
          <w:szCs w:val="44"/>
        </w:rPr>
      </w:pPr>
      <w:r>
        <w:rPr>
          <w:rFonts w:hint="eastAsia" w:ascii="方正粗黑宋简体" w:hAnsi="方正粗黑宋简体" w:eastAsia="方正粗黑宋简体" w:cs="方正小标宋简体"/>
          <w:sz w:val="44"/>
          <w:szCs w:val="44"/>
        </w:rPr>
        <w:t>玉林市中西医结合骨科医院</w:t>
      </w:r>
      <w:bookmarkStart w:id="0" w:name="OLE_LINK1"/>
      <w:r>
        <w:rPr>
          <w:rFonts w:hint="eastAsia" w:ascii="方正粗黑宋简体" w:hAnsi="方正粗黑宋简体" w:eastAsia="方正粗黑宋简体" w:cs="方正小标宋简体"/>
          <w:sz w:val="44"/>
          <w:szCs w:val="44"/>
        </w:rPr>
        <w:t>科研数据深度学习</w:t>
      </w:r>
      <w:bookmarkEnd w:id="0"/>
      <w:bookmarkStart w:id="1" w:name="OLE_LINK2"/>
      <w:r>
        <w:rPr>
          <w:rFonts w:hint="eastAsia" w:ascii="方正粗黑宋简体" w:hAnsi="方正粗黑宋简体" w:eastAsia="方正粗黑宋简体" w:cs="宋体"/>
          <w:sz w:val="44"/>
          <w:szCs w:val="44"/>
        </w:rPr>
        <w:t>智融一体机</w:t>
      </w:r>
      <w:bookmarkEnd w:id="1"/>
      <w:r>
        <w:rPr>
          <w:rFonts w:hint="eastAsia" w:ascii="方正粗黑宋简体" w:hAnsi="方正粗黑宋简体" w:eastAsia="方正粗黑宋简体" w:cs="方正小标宋简体"/>
          <w:sz w:val="44"/>
          <w:szCs w:val="44"/>
        </w:rPr>
        <w:t>采购</w:t>
      </w:r>
      <w:r>
        <w:rPr>
          <w:rFonts w:hint="eastAsia" w:ascii="方正粗黑宋简体" w:hAnsi="方正粗黑宋简体" w:eastAsia="方正粗黑宋简体" w:cs="方正小标宋简体"/>
          <w:sz w:val="44"/>
          <w:szCs w:val="44"/>
          <w:lang w:val="en-US" w:eastAsia="zh-CN"/>
        </w:rPr>
        <w:t>基本要求</w:t>
      </w:r>
      <w:r>
        <w:rPr>
          <w:rFonts w:hint="eastAsia" w:ascii="方正粗黑宋简体" w:hAnsi="方正粗黑宋简体" w:eastAsia="方正粗黑宋简体" w:cs="方正小标宋简体"/>
          <w:sz w:val="44"/>
          <w:szCs w:val="44"/>
        </w:rPr>
        <w:t>（科研需求专项适配版）</w:t>
      </w:r>
    </w:p>
    <w:p w14:paraId="6258AE66"/>
    <w:p w14:paraId="4E0BBD94">
      <w:pPr>
        <w:pStyle w:val="3"/>
        <w:spacing w:before="0" w:after="0"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一、项目概况</w:t>
      </w:r>
      <w:bookmarkStart w:id="4" w:name="_GoBack"/>
      <w:bookmarkEnd w:id="4"/>
    </w:p>
    <w:p w14:paraId="7C3D927D">
      <w:pPr>
        <w:pStyle w:val="18"/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（一）采购单位：玉林市中西医结合骨科医院</w:t>
      </w:r>
    </w:p>
    <w:p w14:paraId="2CD1250A">
      <w:pPr>
        <w:pStyle w:val="18"/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（二）项目名称：科研数据深度学习服务器采购项目</w:t>
      </w:r>
    </w:p>
    <w:p w14:paraId="0BCAF0F3">
      <w:pPr>
        <w:pStyle w:val="18"/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（三）资金来源：财政专项资金</w:t>
      </w:r>
    </w:p>
    <w:p w14:paraId="595A2392">
      <w:pPr>
        <w:pStyle w:val="18"/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（四）交货地点：玉林市中西医结合骨科医院信息科</w:t>
      </w:r>
    </w:p>
    <w:p w14:paraId="29466EA0">
      <w:pPr>
        <w:pStyle w:val="18"/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）交货周期：合同签订后30个工作日内完成交货、安装及调试</w:t>
      </w:r>
    </w:p>
    <w:p w14:paraId="634E0C9B">
      <w:pPr>
        <w:pStyle w:val="18"/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）核心适配说明：本项目聚焦骨科+中医药交叉领域科研需求，需支撑大规模影像组学、病理组学、多组学数据整合及深度学习算法运行。</w:t>
      </w:r>
    </w:p>
    <w:p w14:paraId="7E9D7B63">
      <w:pPr>
        <w:pStyle w:val="3"/>
        <w:spacing w:before="0" w:after="0"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二、核心技术要求</w:t>
      </w:r>
    </w:p>
    <w:p w14:paraId="330DEB58">
      <w:pPr>
        <w:pStyle w:val="4"/>
        <w:spacing w:before="0" w:after="0" w:line="480" w:lineRule="exact"/>
        <w:ind w:firstLine="602" w:firstLineChars="200"/>
        <w:rPr>
          <w:rFonts w:ascii="宋体" w:hAnsi="宋体" w:eastAsia="宋体" w:cs="方正仿宋_GB2312"/>
        </w:rPr>
      </w:pPr>
      <w:r>
        <w:rPr>
          <w:rFonts w:hint="eastAsia" w:ascii="宋体" w:hAnsi="宋体" w:eastAsia="宋体" w:cs="方正仿宋_GB2312"/>
        </w:rPr>
        <w:t>（一）</w:t>
      </w:r>
      <w:r>
        <w:rPr>
          <w:rFonts w:hint="eastAsia" w:ascii="宋体" w:hAnsi="宋体" w:eastAsia="宋体" w:cs="宋体"/>
        </w:rPr>
        <w:t>智融</w:t>
      </w:r>
      <w:r>
        <w:rPr>
          <w:rFonts w:hint="eastAsia" w:ascii="宋体" w:hAnsi="宋体" w:eastAsia="宋体" w:cs="___WRD_EMBED_SUB_49"/>
        </w:rPr>
        <w:t>一体机</w:t>
      </w:r>
      <w:r>
        <w:rPr>
          <w:rFonts w:hint="eastAsia" w:ascii="宋体" w:hAnsi="宋体" w:eastAsia="宋体" w:cs="方正仿宋_GB2312"/>
        </w:rPr>
        <w:t>配置要求（科研算力刚需配置）</w:t>
      </w:r>
    </w:p>
    <w:p w14:paraId="6C8A3FAA">
      <w:pPr>
        <w:pStyle w:val="18"/>
        <w:spacing w:before="0" w:after="0" w:line="480" w:lineRule="exact"/>
        <w:ind w:left="600"/>
        <w:rPr>
          <w:rFonts w:cs="方正仿宋_GB2312" w:asciiTheme="majorEastAsia" w:hAnsiTheme="majorEastAsia" w:eastAsiaTheme="majorEastAsia"/>
          <w:b/>
          <w:bCs/>
          <w:sz w:val="30"/>
          <w:szCs w:val="30"/>
        </w:rPr>
      </w:pPr>
      <w:bookmarkStart w:id="2" w:name="OLE_LINK8"/>
      <w:r>
        <w:rPr>
          <w:rFonts w:hint="eastAsia" w:cs="方正仿宋_GB2312" w:asciiTheme="majorEastAsia" w:hAnsiTheme="majorEastAsia" w:eastAsiaTheme="majorEastAsia"/>
          <w:b/>
          <w:bCs/>
          <w:sz w:val="30"/>
          <w:szCs w:val="30"/>
        </w:rPr>
        <w:t>①</w:t>
      </w:r>
      <w:bookmarkEnd w:id="2"/>
      <w:r>
        <w:rPr>
          <w:rFonts w:hint="eastAsia" w:cs="方正仿宋_GB2312" w:asciiTheme="majorEastAsia" w:hAnsiTheme="majorEastAsia" w:eastAsiaTheme="majorEastAsia"/>
          <w:b/>
          <w:bCs/>
          <w:sz w:val="30"/>
          <w:szCs w:val="30"/>
        </w:rPr>
        <w:t>软件功能</w:t>
      </w:r>
    </w:p>
    <w:p w14:paraId="0EB93D1E">
      <w:pPr>
        <w:pStyle w:val="18"/>
        <w:numPr>
          <w:ilvl w:val="0"/>
          <w:numId w:val="1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安装深度学习框架，支持GPU</w:t>
      </w:r>
      <w:r>
        <w:rPr>
          <w:rFonts w:hint="eastAsia" w:ascii="仿宋" w:hAnsi="仿宋" w:eastAsia="仿宋" w:cs="宋体"/>
          <w:sz w:val="30"/>
          <w:szCs w:val="30"/>
        </w:rPr>
        <w:t>芯</w:t>
      </w:r>
      <w:r>
        <w:rPr>
          <w:rFonts w:hint="eastAsia" w:ascii="仿宋" w:hAnsi="仿宋" w:eastAsia="仿宋" w:cs="___WRD_EMBED_SUB_49"/>
          <w:sz w:val="30"/>
          <w:szCs w:val="30"/>
        </w:rPr>
        <w:t>片的高效推理；</w:t>
      </w:r>
    </w:p>
    <w:p w14:paraId="736A7226">
      <w:pPr>
        <w:pStyle w:val="18"/>
        <w:numPr>
          <w:ilvl w:val="0"/>
          <w:numId w:val="1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bookmarkStart w:id="3" w:name="OLE_LINK7"/>
      <w:r>
        <w:rPr>
          <w:rFonts w:hint="eastAsia" w:ascii="仿宋" w:hAnsi="仿宋" w:eastAsia="仿宋" w:cs="方正仿宋_GB2312"/>
          <w:sz w:val="30"/>
          <w:szCs w:val="30"/>
        </w:rPr>
        <w:t>支持</w:t>
      </w:r>
      <w:bookmarkEnd w:id="3"/>
      <w:r>
        <w:rPr>
          <w:rFonts w:hint="eastAsia" w:ascii="仿宋" w:hAnsi="仿宋" w:eastAsia="仿宋" w:cs="宋体"/>
          <w:sz w:val="30"/>
          <w:szCs w:val="30"/>
        </w:rPr>
        <w:t>部署</w:t>
      </w:r>
      <w:r>
        <w:rPr>
          <w:rFonts w:hint="eastAsia" w:ascii="仿宋" w:hAnsi="仿宋" w:eastAsia="仿宋" w:cs="___WRD_EMBED_SUB_49"/>
          <w:sz w:val="30"/>
          <w:szCs w:val="30"/>
        </w:rPr>
        <w:t>模型管理工具，用于管理模型版本、加速推理（如量化、并行计算）；</w:t>
      </w:r>
    </w:p>
    <w:p w14:paraId="55AA1C3B">
      <w:pPr>
        <w:pStyle w:val="18"/>
        <w:numPr>
          <w:ilvl w:val="0"/>
          <w:numId w:val="1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支持集中管理骨科临床影像、病理切片、随访数据及中医药相关技术档案、实验原始数据</w:t>
      </w:r>
    </w:p>
    <w:p w14:paraId="7A09EA28">
      <w:pPr>
        <w:pStyle w:val="18"/>
        <w:numPr>
          <w:ilvl w:val="0"/>
          <w:numId w:val="1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支持影像组学、病理组学、基因组学等多组学任务，运行深度学习算法挖掘数据关联（如骨科疾病影像特征与中医药疗效相关性、骨折愈合过程与中药干预的量化关系、正骨手法力学参数优化模型等）；</w:t>
      </w:r>
    </w:p>
    <w:p w14:paraId="696901DB">
      <w:pPr>
        <w:pStyle w:val="18"/>
        <w:spacing w:before="0" w:after="0" w:line="480" w:lineRule="exact"/>
        <w:ind w:left="600"/>
        <w:rPr>
          <w:rFonts w:cs="方正仿宋_GB2312"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方正仿宋_GB2312" w:asciiTheme="majorEastAsia" w:hAnsiTheme="majorEastAsia" w:eastAsiaTheme="majorEastAsia"/>
          <w:b/>
          <w:bCs/>
          <w:sz w:val="30"/>
          <w:szCs w:val="30"/>
        </w:rPr>
        <w:t>②硬件配置</w:t>
      </w:r>
    </w:p>
    <w:p w14:paraId="7C791C2D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处理器：2颗CPU，单颗≥56核处理器，支持多线程运算，主频≥2.0GHz，缓存≥100MB，具备超强并行处理能力，满足骨科影像数据、中医药实验数据的大规模并行计算及深度学习模型训练需求。</w:t>
      </w:r>
    </w:p>
    <w:p w14:paraId="4D3AE096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运行内存：≥1024GB，内存规格为DDR5及以上，内存频率≥5600MHz，支持内存容错技术，保障长时间高负载数据处理（如病理切片像素级分析、多组学数据关联挖掘）过程稳定无中断。</w:t>
      </w:r>
    </w:p>
    <w:p w14:paraId="66C6A63E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存储系统：系统盘配置2块≥1.92T SSD，主存硬盘配置≥4块，单块容量≥8TB，支持骨科临床诊疗数据、中医药验方数据、科研实验原始数据等海量数据的长期归档存储；</w:t>
      </w:r>
    </w:p>
    <w:p w14:paraId="6DE48ADD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配备阵列卡，缓存≥2GB，支持RAID0/1/5/6等阵列模式，实现科研数据冗余保护，降低数据丢失风险。</w:t>
      </w:r>
    </w:p>
    <w:p w14:paraId="73B0212A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图形处理单元（GPU）：≥2块专业深度学习GPU，单卡显存≥48GB，支持CUDA核心≥18000，完美适配TensorFlow、PyTorch等主流深度学习框架，满足骨科影像组学特征提取、病理组学模型训练、中医药疗效预测模型运算等高强度算力需求。</w:t>
      </w:r>
    </w:p>
    <w:p w14:paraId="46F54337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网络接口：≥4个千兆以太网接口，支持网络链路聚合，保障多科研团队同时访问、批量骨科影像/实验数据传输的稳定性与高效性。</w:t>
      </w:r>
    </w:p>
    <w:p w14:paraId="4A2071AB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电源系统：双电源冗余配置，单电源功率≥2000W，支持热插拔，避免突发断电导致的深度学习训练任务中断或科研数据损坏。</w:t>
      </w:r>
    </w:p>
    <w:p w14:paraId="37BF4CBA">
      <w:pPr>
        <w:pStyle w:val="18"/>
        <w:numPr>
          <w:ilvl w:val="0"/>
          <w:numId w:val="2"/>
        </w:numPr>
        <w:spacing w:before="0" w:after="0" w:line="480" w:lineRule="exact"/>
        <w:ind w:left="0" w:firstLine="600" w:firstLineChars="20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</w:rPr>
        <w:t>扩展能力：支持GPU、硬盘、内存等硬件模块扩展，预留≥2个PCIe4.0插槽，适配未来科研算力升级（如新增GPU用于更复杂模型训练）、数据存储扩容（如新增临床随访数据）需求。</w:t>
      </w:r>
    </w:p>
    <w:p w14:paraId="125B93ED">
      <w:pPr>
        <w:pStyle w:val="4"/>
        <w:spacing w:before="0" w:after="0" w:line="480" w:lineRule="exact"/>
        <w:ind w:firstLine="602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（二）兼容性要求（科研软件与数据适配）</w:t>
      </w:r>
    </w:p>
    <w:p w14:paraId="5663188F">
      <w:pPr>
        <w:pStyle w:val="18"/>
        <w:numPr>
          <w:ilvl w:val="0"/>
          <w:numId w:val="3"/>
        </w:numPr>
        <w:spacing w:before="0" w:after="0" w:line="480" w:lineRule="exact"/>
        <w:ind w:left="0"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兼容WindowsServer、Linux（国产）等主流服务器操作系统，满足不同科研软件的运行环境需求；</w:t>
      </w:r>
    </w:p>
    <w:p w14:paraId="00F84BE7">
      <w:pPr>
        <w:pStyle w:val="18"/>
        <w:numPr>
          <w:ilvl w:val="0"/>
          <w:numId w:val="3"/>
        </w:numPr>
        <w:spacing w:before="0" w:after="0" w:line="480" w:lineRule="exact"/>
        <w:ind w:left="0"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全面支持Python、R、SPSS、MATLAB等主流科研数据分析软件，适配深度学习模型开发、统计分析、数据可视化等科研操作，同时兼容骨科影像处理软件（如ITK-SNAP、3DSlicer）、病理图像分析工具（如QuPath）的运行；</w:t>
      </w:r>
    </w:p>
    <w:p w14:paraId="7054C646">
      <w:pPr>
        <w:pStyle w:val="18"/>
        <w:numPr>
          <w:ilvl w:val="0"/>
          <w:numId w:val="0"/>
        </w:numPr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可无缝整合处理骨科+中医药复合数据，包括但不限于骨科临床诊疗数据、病理切片数据、影像数据、中医药实验检测数据、验方成分数据、传统正骨手法力学数据等，支持Excel、CSV、PDF、XML、DICOM（影像格式）等多格式数据导入、转换与批量处理。</w:t>
      </w:r>
    </w:p>
    <w:p w14:paraId="6E7D0627">
      <w:pPr>
        <w:pStyle w:val="3"/>
        <w:spacing w:before="0" w:after="0"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三、核心科研用途</w:t>
      </w:r>
    </w:p>
    <w:p w14:paraId="2A9E05B2">
      <w:pPr>
        <w:pStyle w:val="18"/>
        <w:numPr>
          <w:ilvl w:val="0"/>
          <w:numId w:val="4"/>
        </w:numPr>
        <w:spacing w:before="0" w:after="0" w:line="480" w:lineRule="exact"/>
        <w:ind w:left="0" w:firstLine="602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多源科研数据整合存储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：集中管理骨科临床影像、病理切片、随访数据及中医药相关技术档案、实验原始数据，构建标准化科研数据库，解决当前多源数据分散存储、难以统一调用的痛点；</w:t>
      </w:r>
    </w:p>
    <w:p w14:paraId="19B7FC0C">
      <w:pPr>
        <w:pStyle w:val="18"/>
        <w:numPr>
          <w:ilvl w:val="0"/>
          <w:numId w:val="4"/>
        </w:numPr>
        <w:spacing w:before="0" w:after="0" w:line="480" w:lineRule="exact"/>
        <w:ind w:left="0" w:firstLine="602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深度学习与多组学分析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提供高密度算力支撑影像组学、病理组学、基因组学等多组学任务，运行深度学习算法挖掘数据关联（如骨科疾病影像特征与中医药疗效相关性、骨折愈合过程与中药干预的量化关系、正骨手法力学参数优化模型等），为科研创新提供核心算力支撑；</w:t>
      </w:r>
    </w:p>
    <w:p w14:paraId="16CA5B54">
      <w:pPr>
        <w:pStyle w:val="18"/>
        <w:numPr>
          <w:ilvl w:val="0"/>
          <w:numId w:val="4"/>
        </w:numPr>
        <w:spacing w:before="0" w:after="0" w:line="480" w:lineRule="exact"/>
        <w:ind w:left="0" w:firstLine="602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在研项目高效推进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：满足医院在研科研项目（如骨科疾病中医药协定处方作用机制研究、民间正骨技术疗效验证、中药制剂对骨折愈合的影响研究等）的数据处理需求，避免因算力不足或软件适配问题导致项目延误。</w:t>
      </w:r>
    </w:p>
    <w:p w14:paraId="50004E8E">
      <w:pPr>
        <w:pStyle w:val="3"/>
        <w:spacing w:before="0" w:after="0"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四、供应商资质要求</w:t>
      </w:r>
    </w:p>
    <w:p w14:paraId="12E54813">
      <w:pPr>
        <w:pStyle w:val="18"/>
        <w:numPr>
          <w:ilvl w:val="0"/>
          <w:numId w:val="5"/>
        </w:numPr>
        <w:spacing w:before="0" w:after="0" w:line="480" w:lineRule="exact"/>
        <w:ind w:left="0"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具备独立法人资格，持有有效的营业执照，经营范围包含科研服务器销售、技术服务及相关设备配套服务；</w:t>
      </w:r>
    </w:p>
    <w:p w14:paraId="66A8C92B">
      <w:pPr>
        <w:pStyle w:val="18"/>
        <w:numPr>
          <w:ilvl w:val="0"/>
          <w:numId w:val="5"/>
        </w:numPr>
        <w:spacing w:before="0" w:after="0" w:line="480" w:lineRule="exact"/>
        <w:ind w:left="0"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具备专业技术服务团队，拥有骨科/中医药领域科研服务器适配经验，能提供7×24小时远程技术支持，接到故障通知后48小时内到达现场处理；</w:t>
      </w:r>
    </w:p>
    <w:p w14:paraId="7DD192E9">
      <w:pPr>
        <w:pStyle w:val="18"/>
        <w:numPr>
          <w:ilvl w:val="0"/>
          <w:numId w:val="0"/>
        </w:numPr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无重大违法违规记录，未被列入“信用中国”网站失信被执行人、重大税收违法失信主体名单。</w:t>
      </w:r>
    </w:p>
    <w:p w14:paraId="157A8409">
      <w:pPr>
        <w:pStyle w:val="3"/>
        <w:spacing w:before="0" w:after="0"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五、售后服务要求</w:t>
      </w:r>
    </w:p>
    <w:p w14:paraId="3773DB5C">
      <w:pPr>
        <w:pStyle w:val="18"/>
        <w:numPr>
          <w:ilvl w:val="0"/>
          <w:numId w:val="6"/>
        </w:numPr>
        <w:spacing w:before="0" w:after="0" w:line="480" w:lineRule="exact"/>
        <w:ind w:left="0"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产品质保期≥3年，质保期内提供免费维修、核心硬件（CPU、内存、硬盘、GPU、阵列卡等）更换服务，确保科研算力持续稳定；</w:t>
      </w:r>
    </w:p>
    <w:p w14:paraId="73AFC605">
      <w:pPr>
        <w:pStyle w:val="18"/>
        <w:numPr>
          <w:ilvl w:val="0"/>
          <w:numId w:val="6"/>
        </w:numPr>
        <w:spacing w:before="0" w:after="0" w:line="480" w:lineRule="exact"/>
        <w:ind w:left="0"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质保期内每年提供至少1次上门巡检服务，内容包括硬件状态检测、系统优化、数据备份校验、科研软件运行适配检查等，主动排查潜在问题；</w:t>
      </w:r>
    </w:p>
    <w:p w14:paraId="4282C64E">
      <w:pPr>
        <w:pStyle w:val="18"/>
        <w:numPr>
          <w:ilvl w:val="0"/>
          <w:numId w:val="0"/>
        </w:numPr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提供3年专属技术支持，包括远程故障诊断、深度学习框架安装调试、科研软件适配指导、数据迁移协助、算法运行优化等科研相关技术服务；</w:t>
      </w:r>
    </w:p>
    <w:p w14:paraId="2021B3CA">
      <w:pPr>
        <w:pStyle w:val="18"/>
        <w:numPr>
          <w:ilvl w:val="0"/>
          <w:numId w:val="0"/>
        </w:numPr>
        <w:spacing w:before="0" w:after="0" w:line="480" w:lineRule="exact"/>
        <w:ind w:firstLine="600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提供定制化操作培训服务，内容涵盖服务器管理、数据备份与恢复、骨科/中医药科研数据处理流程、深度学习算法运行适配等，确保科研人员熟练操作。</w:t>
      </w:r>
    </w:p>
    <w:p w14:paraId="2C09995C">
      <w:pPr>
        <w:pStyle w:val="3"/>
        <w:spacing w:before="0" w:after="0"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六、验收标准</w:t>
      </w:r>
    </w:p>
    <w:p w14:paraId="4553DD02">
      <w:pPr>
        <w:pStyle w:val="18"/>
        <w:numPr>
          <w:ilvl w:val="0"/>
          <w:numId w:val="7"/>
        </w:numPr>
        <w:spacing w:before="0" w:after="0" w:line="480" w:lineRule="exact"/>
        <w:ind w:left="0" w:firstLine="602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硬件性能验收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：供应商提供详细硬件配置清单，逐一核实CPU核心数、内存容量、存储容量、GPU参数等，通过专业测试工具实测硬件运算速度、数据读写速度、GPU算力，结果不低于标称值；</w:t>
      </w:r>
    </w:p>
    <w:p w14:paraId="26AEBCEF">
      <w:pPr>
        <w:pStyle w:val="18"/>
        <w:numPr>
          <w:ilvl w:val="0"/>
          <w:numId w:val="7"/>
        </w:numPr>
        <w:spacing w:before="0" w:after="0" w:line="480" w:lineRule="exact"/>
        <w:ind w:left="0" w:firstLine="602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安全功能验收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：验证数据加密功能、权限分级管理、数据备份与恢复功能正常运行，模拟数据泄露场景测试权限管控有效性，备份数据恢复完整性达100%；</w:t>
      </w:r>
    </w:p>
    <w:p w14:paraId="6B522E2E">
      <w:pPr>
        <w:pStyle w:val="18"/>
        <w:numPr>
          <w:ilvl w:val="0"/>
          <w:numId w:val="0"/>
        </w:numPr>
        <w:spacing w:before="0" w:after="0" w:line="480" w:lineRule="exact"/>
        <w:ind w:firstLine="602" w:firstLineChars="20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兼容性验收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：安装Python、R、SPSS、3DSlicer、QuPath等科研软件并完成运行测试，导入骨科影像（DICOM格式）、中医药实验数据（Excel/CSV格式）、病理切片数据等，验证多格式数据整合处理功能正常，无数据丢失或格式错乱；</w:t>
      </w:r>
    </w:p>
    <w:p w14:paraId="2E52AE08">
      <w:pPr>
        <w:pStyle w:val="18"/>
        <w:numPr>
          <w:ilvl w:val="0"/>
          <w:numId w:val="0"/>
        </w:numPr>
        <w:spacing w:before="0" w:after="0" w:line="480" w:lineRule="exact"/>
        <w:ind w:firstLine="602" w:firstLineChars="200"/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科研场景验收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：运行骨科影像特征提取、简单深度学习模型训练等典型科研任务，连续72小时满负载测试，服务器无死机、重启、数据损坏等异常情况，任务处理效率满足科研预期。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C5BF5-7428-4A66-B1A1-7564B46290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05F16E-3619-4ED0-BD7E-36FD11BCCB3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9A26606-48F4-4925-9EF3-C5A09F49A8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BDCE8C7-ACA7-4A25-9435-3DAD0585BC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9105355-748D-4DF0-A1DD-39B1210B1024}"/>
  </w:font>
  <w:font w:name="___WRD_EMBED_SUB_49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12F8D443-23D7-4D87-9DCA-ADAC8DA8B5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5E2A1E2-C562-4BD4-8DFD-39098C5C0D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774FC"/>
    <w:multiLevelType w:val="multilevel"/>
    <w:tmpl w:val="9EB774FC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C319F211"/>
    <w:multiLevelType w:val="multilevel"/>
    <w:tmpl w:val="C319F211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D66C23F4"/>
    <w:multiLevelType w:val="multilevel"/>
    <w:tmpl w:val="D66C23F4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E150C02B"/>
    <w:multiLevelType w:val="multilevel"/>
    <w:tmpl w:val="E150C02B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34BC824E"/>
    <w:multiLevelType w:val="multilevel"/>
    <w:tmpl w:val="34BC824E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>
    <w:nsid w:val="519A7B02"/>
    <w:multiLevelType w:val="multilevel"/>
    <w:tmpl w:val="519A7B02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">
    <w:nsid w:val="74211046"/>
    <w:multiLevelType w:val="multilevel"/>
    <w:tmpl w:val="74211046"/>
    <w:lvl w:ilvl="0" w:tentative="0">
      <w:start w:val="1"/>
      <w:numFmt w:val="decimal"/>
      <w:suff w:val="nothing"/>
      <w:lvlText w:val="%1."/>
      <w:lvlJc w:val="left"/>
      <w:pPr>
        <w:ind w:left="28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DB"/>
    <w:rsid w:val="000C6EC1"/>
    <w:rsid w:val="0011258F"/>
    <w:rsid w:val="001A233A"/>
    <w:rsid w:val="002C79DB"/>
    <w:rsid w:val="00473BB0"/>
    <w:rsid w:val="004F2D93"/>
    <w:rsid w:val="007E40F9"/>
    <w:rsid w:val="008E05A4"/>
    <w:rsid w:val="00956ED0"/>
    <w:rsid w:val="00B7090E"/>
    <w:rsid w:val="2D913497"/>
    <w:rsid w:val="2E553449"/>
    <w:rsid w:val="52343FE2"/>
    <w:rsid w:val="73C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页眉 Char"/>
    <w:basedOn w:val="13"/>
    <w:link w:val="9"/>
    <w:qFormat/>
    <w:uiPriority w:val="0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2303</Words>
  <Characters>2511</Characters>
  <Lines>18</Lines>
  <Paragraphs>5</Paragraphs>
  <TotalTime>30</TotalTime>
  <ScaleCrop>false</ScaleCrop>
  <LinksUpToDate>false</LinksUpToDate>
  <CharactersWithSpaces>2512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2025-12-13T09:48:00Z</dcterms:created>
  <dc:creator>Un-named</dc:creator>
  <cp:lastModifiedBy>玉林骨科彭金辉</cp:lastModifiedBy>
  <dcterms:modified xsi:type="dcterms:W3CDTF">2025-12-19T02:54:12Z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eyJoZGlkIjoiMWRiZTg2NTI3NGZkNTA4YzAwNWJjM2FkODk3ZTc0MTMiLCJ1c2VySWQiOiI1Njc0MjY5MjAifQ==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55255FC4E6F94BBF84F823D95E7DF2D9_12</vt:lpwstr>
  </property>
</Properties>
</file>