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1B89FD">
      <w:pPr>
        <w:pStyle w:val="2"/>
        <w:spacing w:before="0" w:after="0" w:line="480" w:lineRule="exact"/>
        <w:jc w:val="center"/>
        <w:rPr>
          <w:rFonts w:ascii="方正粗黑宋简体" w:hAnsi="方正粗黑宋简体" w:eastAsia="方正粗黑宋简体" w:cs="方正小标宋简体"/>
          <w:sz w:val="44"/>
          <w:szCs w:val="44"/>
        </w:rPr>
      </w:pPr>
      <w:r>
        <w:rPr>
          <w:rFonts w:hint="eastAsia" w:ascii="方正粗黑宋简体" w:hAnsi="方正粗黑宋简体" w:eastAsia="方正粗黑宋简体" w:cs="方正小标宋简体"/>
          <w:sz w:val="44"/>
          <w:szCs w:val="44"/>
        </w:rPr>
        <w:t>玉林市中西医结合骨科医院</w:t>
      </w:r>
      <w:bookmarkStart w:id="0" w:name="OLE_LINK1"/>
      <w:r>
        <w:rPr>
          <w:rFonts w:hint="eastAsia" w:ascii="方正粗黑宋简体" w:hAnsi="方正粗黑宋简体" w:eastAsia="方正粗黑宋简体" w:cs="方正小标宋简体"/>
          <w:sz w:val="44"/>
          <w:szCs w:val="44"/>
        </w:rPr>
        <w:t>科研数据深度学习</w:t>
      </w:r>
      <w:bookmarkEnd w:id="0"/>
      <w:bookmarkStart w:id="1" w:name="OLE_LINK2"/>
      <w:r>
        <w:rPr>
          <w:rFonts w:hint="eastAsia" w:ascii="方正粗黑宋简体" w:hAnsi="方正粗黑宋简体" w:eastAsia="方正粗黑宋简体" w:cs="宋体"/>
          <w:sz w:val="44"/>
          <w:szCs w:val="44"/>
        </w:rPr>
        <w:t>智融一体机</w:t>
      </w:r>
      <w:bookmarkEnd w:id="1"/>
      <w:r>
        <w:rPr>
          <w:rFonts w:hint="eastAsia" w:ascii="方正粗黑宋简体" w:hAnsi="方正粗黑宋简体" w:eastAsia="方正粗黑宋简体" w:cs="方正小标宋简体"/>
          <w:sz w:val="44"/>
          <w:szCs w:val="44"/>
        </w:rPr>
        <w:t>采购</w:t>
      </w:r>
      <w:r>
        <w:rPr>
          <w:rFonts w:hint="eastAsia" w:ascii="方正粗黑宋简体" w:hAnsi="方正粗黑宋简体" w:eastAsia="方正粗黑宋简体" w:cs="方正小标宋简体"/>
          <w:sz w:val="44"/>
          <w:szCs w:val="44"/>
          <w:lang w:val="en-US" w:eastAsia="zh-CN"/>
        </w:rPr>
        <w:t>基本要求</w:t>
      </w:r>
      <w:r>
        <w:rPr>
          <w:rFonts w:hint="eastAsia" w:ascii="方正粗黑宋简体" w:hAnsi="方正粗黑宋简体" w:eastAsia="方正粗黑宋简体" w:cs="方正小标宋简体"/>
          <w:sz w:val="44"/>
          <w:szCs w:val="44"/>
        </w:rPr>
        <w:t>（科研需求专项适配版）</w:t>
      </w:r>
    </w:p>
    <w:p w14:paraId="6258AE66"/>
    <w:p w14:paraId="4E0BBD94">
      <w:pPr>
        <w:pStyle w:val="3"/>
        <w:spacing w:before="0" w:after="0" w:line="480" w:lineRule="exact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一、项目概况</w:t>
      </w:r>
      <w:bookmarkStart w:id="4" w:name="_GoBack"/>
      <w:bookmarkEnd w:id="4"/>
    </w:p>
    <w:p w14:paraId="7C3D927D">
      <w:pPr>
        <w:pStyle w:val="18"/>
        <w:spacing w:before="0" w:after="0" w:line="480" w:lineRule="exact"/>
        <w:ind w:firstLine="600" w:firstLineChars="200"/>
        <w:rPr>
          <w:rFonts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（一）采购单位：玉林市中西医结合骨科医院</w:t>
      </w:r>
    </w:p>
    <w:p w14:paraId="2CD1250A">
      <w:pPr>
        <w:pStyle w:val="18"/>
        <w:spacing w:before="0" w:after="0" w:line="480" w:lineRule="exact"/>
        <w:ind w:firstLine="600" w:firstLineChars="200"/>
        <w:rPr>
          <w:rFonts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（二）项目名称：科研数据深度学习服务器采购项目</w:t>
      </w:r>
    </w:p>
    <w:p w14:paraId="0BCAF0F3">
      <w:pPr>
        <w:pStyle w:val="18"/>
        <w:spacing w:before="0" w:after="0" w:line="480" w:lineRule="exact"/>
        <w:ind w:firstLine="600" w:firstLineChars="200"/>
        <w:rPr>
          <w:rFonts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（三）资金来源：财政专项资金</w:t>
      </w:r>
    </w:p>
    <w:p w14:paraId="595A2392">
      <w:pPr>
        <w:pStyle w:val="18"/>
        <w:spacing w:before="0" w:after="0" w:line="480" w:lineRule="exact"/>
        <w:ind w:firstLine="600" w:firstLineChars="200"/>
        <w:rPr>
          <w:rFonts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（四）交货地点：玉林市中西医结合骨科医院信息科</w:t>
      </w:r>
    </w:p>
    <w:p w14:paraId="29466EA0">
      <w:pPr>
        <w:pStyle w:val="18"/>
        <w:spacing w:before="0" w:after="0" w:line="480" w:lineRule="exact"/>
        <w:ind w:firstLine="600" w:firstLineChars="200"/>
        <w:rPr>
          <w:rFonts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（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五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）交货周期：合同签订后30个工作日内完成交货、安装及调试</w:t>
      </w:r>
    </w:p>
    <w:p w14:paraId="634E0C9B">
      <w:pPr>
        <w:pStyle w:val="18"/>
        <w:spacing w:before="0" w:after="0" w:line="480" w:lineRule="exact"/>
        <w:ind w:firstLine="600" w:firstLineChars="200"/>
        <w:rPr>
          <w:rFonts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（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六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）核心适配说明：本项目聚焦骨科+中医药交叉领域科研需求，需支撑大规模影像组学、病理组学、多组学数据整合及深度学习算法运行。</w:t>
      </w:r>
    </w:p>
    <w:p w14:paraId="7E9D7B63">
      <w:pPr>
        <w:pStyle w:val="3"/>
        <w:spacing w:before="0" w:after="0" w:line="480" w:lineRule="exact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二、核心技术要求</w:t>
      </w:r>
    </w:p>
    <w:p w14:paraId="330DEB58">
      <w:pPr>
        <w:pStyle w:val="4"/>
        <w:spacing w:before="0" w:after="0" w:line="480" w:lineRule="exact"/>
        <w:ind w:firstLine="602" w:firstLineChars="200"/>
        <w:rPr>
          <w:rFonts w:ascii="宋体" w:hAnsi="宋体" w:eastAsia="宋体" w:cs="方正仿宋_GB2312"/>
        </w:rPr>
      </w:pPr>
      <w:r>
        <w:rPr>
          <w:rFonts w:hint="eastAsia" w:ascii="宋体" w:hAnsi="宋体" w:eastAsia="宋体" w:cs="方正仿宋_GB2312"/>
        </w:rPr>
        <w:t>（一）</w:t>
      </w:r>
      <w:r>
        <w:rPr>
          <w:rFonts w:hint="eastAsia" w:ascii="宋体" w:hAnsi="宋体" w:eastAsia="宋体" w:cs="宋体"/>
        </w:rPr>
        <w:t>智融</w:t>
      </w:r>
      <w:r>
        <w:rPr>
          <w:rFonts w:hint="eastAsia" w:ascii="宋体" w:hAnsi="宋体" w:eastAsia="宋体" w:cs="___WRD_EMBED_SUB_49"/>
        </w:rPr>
        <w:t>一体机</w:t>
      </w:r>
      <w:r>
        <w:rPr>
          <w:rFonts w:hint="eastAsia" w:ascii="宋体" w:hAnsi="宋体" w:eastAsia="宋体" w:cs="方正仿宋_GB2312"/>
        </w:rPr>
        <w:t>配置要求（科研算力刚需配置）</w:t>
      </w:r>
    </w:p>
    <w:p w14:paraId="6C8A3FAA">
      <w:pPr>
        <w:pStyle w:val="18"/>
        <w:spacing w:before="0" w:after="0" w:line="480" w:lineRule="exact"/>
        <w:ind w:left="600"/>
        <w:rPr>
          <w:rFonts w:cs="方正仿宋_GB2312" w:asciiTheme="majorEastAsia" w:hAnsiTheme="majorEastAsia" w:eastAsiaTheme="majorEastAsia"/>
          <w:b/>
          <w:bCs/>
          <w:sz w:val="30"/>
          <w:szCs w:val="30"/>
        </w:rPr>
      </w:pPr>
      <w:bookmarkStart w:id="2" w:name="OLE_LINK8"/>
      <w:r>
        <w:rPr>
          <w:rFonts w:hint="eastAsia" w:cs="方正仿宋_GB2312" w:asciiTheme="majorEastAsia" w:hAnsiTheme="majorEastAsia" w:eastAsiaTheme="majorEastAsia"/>
          <w:b/>
          <w:bCs/>
          <w:sz w:val="30"/>
          <w:szCs w:val="30"/>
        </w:rPr>
        <w:t>①</w:t>
      </w:r>
      <w:bookmarkEnd w:id="2"/>
      <w:r>
        <w:rPr>
          <w:rFonts w:hint="eastAsia" w:cs="方正仿宋_GB2312" w:asciiTheme="majorEastAsia" w:hAnsiTheme="majorEastAsia" w:eastAsiaTheme="majorEastAsia"/>
          <w:b/>
          <w:bCs/>
          <w:sz w:val="30"/>
          <w:szCs w:val="30"/>
        </w:rPr>
        <w:t>软件功能</w:t>
      </w:r>
    </w:p>
    <w:p w14:paraId="0EB93D1E">
      <w:pPr>
        <w:pStyle w:val="18"/>
        <w:numPr>
          <w:ilvl w:val="0"/>
          <w:numId w:val="1"/>
        </w:numPr>
        <w:spacing w:before="0" w:after="0" w:line="480" w:lineRule="exact"/>
        <w:ind w:left="0" w:firstLine="600" w:firstLineChars="200"/>
        <w:rPr>
          <w:rFonts w:ascii="仿宋" w:hAnsi="仿宋" w:eastAsia="仿宋" w:cs="方正仿宋_GB2312"/>
          <w:sz w:val="30"/>
          <w:szCs w:val="30"/>
        </w:rPr>
      </w:pPr>
      <w:r>
        <w:rPr>
          <w:rFonts w:hint="eastAsia" w:ascii="仿宋" w:hAnsi="仿宋" w:eastAsia="仿宋" w:cs="方正仿宋_GB2312"/>
          <w:sz w:val="30"/>
          <w:szCs w:val="30"/>
        </w:rPr>
        <w:t>安装深度学习框架，支持GPU</w:t>
      </w:r>
      <w:r>
        <w:rPr>
          <w:rFonts w:hint="eastAsia" w:ascii="仿宋" w:hAnsi="仿宋" w:eastAsia="仿宋" w:cs="宋体"/>
          <w:sz w:val="30"/>
          <w:szCs w:val="30"/>
        </w:rPr>
        <w:t>芯</w:t>
      </w:r>
      <w:r>
        <w:rPr>
          <w:rFonts w:hint="eastAsia" w:ascii="仿宋" w:hAnsi="仿宋" w:eastAsia="仿宋" w:cs="___WRD_EMBED_SUB_49"/>
          <w:sz w:val="30"/>
          <w:szCs w:val="30"/>
        </w:rPr>
        <w:t>片的高效推理；</w:t>
      </w:r>
    </w:p>
    <w:p w14:paraId="736A7226">
      <w:pPr>
        <w:pStyle w:val="18"/>
        <w:numPr>
          <w:ilvl w:val="0"/>
          <w:numId w:val="1"/>
        </w:numPr>
        <w:spacing w:before="0" w:after="0" w:line="480" w:lineRule="exact"/>
        <w:ind w:left="0" w:firstLine="600" w:firstLineChars="200"/>
        <w:rPr>
          <w:rFonts w:ascii="仿宋" w:hAnsi="仿宋" w:eastAsia="仿宋" w:cs="方正仿宋_GB2312"/>
          <w:sz w:val="30"/>
          <w:szCs w:val="30"/>
        </w:rPr>
      </w:pPr>
      <w:bookmarkStart w:id="3" w:name="OLE_LINK7"/>
      <w:r>
        <w:rPr>
          <w:rFonts w:hint="eastAsia" w:ascii="仿宋" w:hAnsi="仿宋" w:eastAsia="仿宋" w:cs="方正仿宋_GB2312"/>
          <w:sz w:val="30"/>
          <w:szCs w:val="30"/>
        </w:rPr>
        <w:t>支持</w:t>
      </w:r>
      <w:bookmarkEnd w:id="3"/>
      <w:r>
        <w:rPr>
          <w:rFonts w:hint="eastAsia" w:ascii="仿宋" w:hAnsi="仿宋" w:eastAsia="仿宋" w:cs="宋体"/>
          <w:sz w:val="30"/>
          <w:szCs w:val="30"/>
        </w:rPr>
        <w:t>部署</w:t>
      </w:r>
      <w:r>
        <w:rPr>
          <w:rFonts w:hint="eastAsia" w:ascii="仿宋" w:hAnsi="仿宋" w:eastAsia="仿宋" w:cs="___WRD_EMBED_SUB_49"/>
          <w:sz w:val="30"/>
          <w:szCs w:val="30"/>
        </w:rPr>
        <w:t>模型管理工具，用于管理模型版本、加速推理（如量化、并行计算）；</w:t>
      </w:r>
    </w:p>
    <w:p w14:paraId="55AA1C3B">
      <w:pPr>
        <w:pStyle w:val="18"/>
        <w:numPr>
          <w:ilvl w:val="0"/>
          <w:numId w:val="1"/>
        </w:numPr>
        <w:spacing w:before="0" w:after="0" w:line="480" w:lineRule="exact"/>
        <w:ind w:left="0" w:firstLine="600" w:firstLineChars="200"/>
        <w:rPr>
          <w:rFonts w:ascii="仿宋" w:hAnsi="仿宋" w:eastAsia="仿宋" w:cs="方正仿宋_GB2312"/>
          <w:sz w:val="30"/>
          <w:szCs w:val="30"/>
        </w:rPr>
      </w:pPr>
      <w:r>
        <w:rPr>
          <w:rFonts w:hint="eastAsia" w:ascii="仿宋" w:hAnsi="仿宋" w:eastAsia="仿宋" w:cs="方正仿宋_GB2312"/>
          <w:sz w:val="30"/>
          <w:szCs w:val="30"/>
        </w:rPr>
        <w:t>支持集中管理骨科临床影像、病理切片、随访数据及中医药相关技术档案、实验原始数据</w:t>
      </w:r>
    </w:p>
    <w:p w14:paraId="7A09EA28">
      <w:pPr>
        <w:pStyle w:val="18"/>
        <w:numPr>
          <w:ilvl w:val="0"/>
          <w:numId w:val="1"/>
        </w:numPr>
        <w:spacing w:before="0" w:after="0" w:line="480" w:lineRule="exact"/>
        <w:ind w:left="0" w:firstLine="600" w:firstLineChars="200"/>
        <w:rPr>
          <w:rFonts w:ascii="仿宋" w:hAnsi="仿宋" w:eastAsia="仿宋" w:cs="方正仿宋_GB2312"/>
          <w:sz w:val="30"/>
          <w:szCs w:val="30"/>
        </w:rPr>
      </w:pPr>
      <w:r>
        <w:rPr>
          <w:rFonts w:hint="eastAsia" w:ascii="仿宋" w:hAnsi="仿宋" w:eastAsia="仿宋" w:cs="方正仿宋_GB2312"/>
          <w:sz w:val="30"/>
          <w:szCs w:val="30"/>
        </w:rPr>
        <w:t>支持影像组学、病理组学、基因组学等多组学任务，运行深度学习算法挖掘数据关联（如骨科疾病影像特征与中医药疗效相关性、骨折愈合过程与中药干预的量化关系、正骨手法力学参数优化模型等）；</w:t>
      </w:r>
    </w:p>
    <w:p w14:paraId="696901DB">
      <w:pPr>
        <w:pStyle w:val="18"/>
        <w:spacing w:before="0" w:after="0" w:line="480" w:lineRule="exact"/>
        <w:ind w:left="600"/>
        <w:rPr>
          <w:rFonts w:cs="方正仿宋_GB2312" w:asciiTheme="majorEastAsia" w:hAnsiTheme="majorEastAsia" w:eastAsiaTheme="majorEastAsia"/>
          <w:b/>
          <w:bCs/>
          <w:sz w:val="30"/>
          <w:szCs w:val="30"/>
        </w:rPr>
      </w:pPr>
      <w:r>
        <w:rPr>
          <w:rFonts w:hint="eastAsia" w:cs="方正仿宋_GB2312" w:asciiTheme="majorEastAsia" w:hAnsiTheme="majorEastAsia" w:eastAsiaTheme="majorEastAsia"/>
          <w:b/>
          <w:bCs/>
          <w:sz w:val="30"/>
          <w:szCs w:val="30"/>
        </w:rPr>
        <w:t>②硬件配置</w:t>
      </w:r>
    </w:p>
    <w:p w14:paraId="7C791C2D">
      <w:pPr>
        <w:pStyle w:val="18"/>
        <w:numPr>
          <w:ilvl w:val="0"/>
          <w:numId w:val="2"/>
        </w:numPr>
        <w:spacing w:before="0" w:after="0" w:line="480" w:lineRule="exact"/>
        <w:ind w:left="0" w:firstLine="600" w:firstLineChars="200"/>
        <w:rPr>
          <w:rFonts w:ascii="仿宋" w:hAnsi="仿宋" w:eastAsia="仿宋" w:cs="方正仿宋_GB2312"/>
          <w:sz w:val="30"/>
          <w:szCs w:val="30"/>
        </w:rPr>
      </w:pPr>
      <w:r>
        <w:rPr>
          <w:rFonts w:hint="eastAsia" w:ascii="仿宋" w:hAnsi="仿宋" w:eastAsia="仿宋" w:cs="方正仿宋_GB2312"/>
          <w:sz w:val="30"/>
          <w:szCs w:val="30"/>
        </w:rPr>
        <w:t>处理器：2颗CPU，单颗≥56核处理器，支持多线程运算，主频≥2.0GHz，缓存≥100MB，具备超强并行处理能力，满足骨科影像数据、中医药实验数据的大规模并行计算及深度学习模型训练需求。</w:t>
      </w:r>
    </w:p>
    <w:p w14:paraId="4D3AE096">
      <w:pPr>
        <w:pStyle w:val="18"/>
        <w:numPr>
          <w:ilvl w:val="0"/>
          <w:numId w:val="2"/>
        </w:numPr>
        <w:spacing w:before="0" w:after="0" w:line="480" w:lineRule="exact"/>
        <w:ind w:left="0" w:firstLine="600" w:firstLineChars="200"/>
        <w:rPr>
          <w:rFonts w:ascii="仿宋" w:hAnsi="仿宋" w:eastAsia="仿宋" w:cs="方正仿宋_GB2312"/>
          <w:sz w:val="30"/>
          <w:szCs w:val="30"/>
        </w:rPr>
      </w:pPr>
      <w:r>
        <w:rPr>
          <w:rFonts w:hint="eastAsia" w:ascii="仿宋" w:hAnsi="仿宋" w:eastAsia="仿宋" w:cs="方正仿宋_GB2312"/>
          <w:sz w:val="30"/>
          <w:szCs w:val="30"/>
        </w:rPr>
        <w:t>运行内存：≥1024GB，内存规格为DDR5及以上，内存频率≥5600MHz，支持内存容错技术，保障长时间高负载数据处理（如病理切片像素级分析、多组学数据关联挖掘）过程稳定无中断。</w:t>
      </w:r>
    </w:p>
    <w:p w14:paraId="66C6A63E">
      <w:pPr>
        <w:pStyle w:val="18"/>
        <w:numPr>
          <w:ilvl w:val="0"/>
          <w:numId w:val="2"/>
        </w:numPr>
        <w:spacing w:before="0" w:after="0" w:line="480" w:lineRule="exact"/>
        <w:ind w:left="0" w:firstLine="600" w:firstLineChars="200"/>
        <w:rPr>
          <w:rFonts w:ascii="仿宋" w:hAnsi="仿宋" w:eastAsia="仿宋" w:cs="方正仿宋_GB2312"/>
          <w:sz w:val="30"/>
          <w:szCs w:val="30"/>
        </w:rPr>
      </w:pPr>
      <w:r>
        <w:rPr>
          <w:rFonts w:hint="eastAsia" w:ascii="仿宋" w:hAnsi="仿宋" w:eastAsia="仿宋" w:cs="方正仿宋_GB2312"/>
          <w:sz w:val="30"/>
          <w:szCs w:val="30"/>
        </w:rPr>
        <w:t>存储系统：系统盘配置2块≥1.92T SSD，主存硬盘配置≥4块，单块容量≥8TB，支持骨科临床诊疗数据、中医药验方数据、科研实验原始数据等海量数据的长期归档存储；</w:t>
      </w:r>
    </w:p>
    <w:p w14:paraId="6DE48ADD">
      <w:pPr>
        <w:pStyle w:val="18"/>
        <w:numPr>
          <w:ilvl w:val="0"/>
          <w:numId w:val="2"/>
        </w:numPr>
        <w:spacing w:before="0" w:after="0" w:line="480" w:lineRule="exact"/>
        <w:ind w:left="0" w:firstLine="600" w:firstLineChars="200"/>
        <w:rPr>
          <w:rFonts w:ascii="仿宋" w:hAnsi="仿宋" w:eastAsia="仿宋" w:cs="方正仿宋_GB2312"/>
          <w:sz w:val="30"/>
          <w:szCs w:val="30"/>
        </w:rPr>
      </w:pPr>
      <w:r>
        <w:rPr>
          <w:rFonts w:hint="eastAsia" w:ascii="仿宋" w:hAnsi="仿宋" w:eastAsia="仿宋" w:cs="方正仿宋_GB2312"/>
          <w:sz w:val="30"/>
          <w:szCs w:val="30"/>
        </w:rPr>
        <w:t>配备阵列卡，缓存≥2GB，支持RAID0/1/5/6等阵列模式，实现科研数据冗余保护，降低数据丢失风险。</w:t>
      </w:r>
    </w:p>
    <w:p w14:paraId="73B0212A">
      <w:pPr>
        <w:pStyle w:val="18"/>
        <w:numPr>
          <w:ilvl w:val="0"/>
          <w:numId w:val="2"/>
        </w:numPr>
        <w:spacing w:before="0" w:after="0" w:line="480" w:lineRule="exact"/>
        <w:ind w:left="0" w:firstLine="600" w:firstLineChars="200"/>
        <w:rPr>
          <w:rFonts w:ascii="仿宋" w:hAnsi="仿宋" w:eastAsia="仿宋" w:cs="方正仿宋_GB2312"/>
          <w:sz w:val="30"/>
          <w:szCs w:val="30"/>
        </w:rPr>
      </w:pPr>
      <w:r>
        <w:rPr>
          <w:rFonts w:hint="eastAsia" w:ascii="仿宋" w:hAnsi="仿宋" w:eastAsia="仿宋" w:cs="方正仿宋_GB2312"/>
          <w:sz w:val="30"/>
          <w:szCs w:val="30"/>
        </w:rPr>
        <w:t>图形处理单元（GPU）：≥2块专业深度学习GPU，单卡显存≥48GB，支持CUDA核心≥18000，完美适配TensorFlow、PyTorch等主流深度学习框架，满足骨科影像组学特征提取、病理组学模型训练、中医药疗效预测模型运算等高强度算力需求。</w:t>
      </w:r>
    </w:p>
    <w:p w14:paraId="46F54337">
      <w:pPr>
        <w:pStyle w:val="18"/>
        <w:numPr>
          <w:ilvl w:val="0"/>
          <w:numId w:val="2"/>
        </w:numPr>
        <w:spacing w:before="0" w:after="0" w:line="480" w:lineRule="exact"/>
        <w:ind w:left="0" w:firstLine="600" w:firstLineChars="200"/>
        <w:rPr>
          <w:rFonts w:ascii="仿宋" w:hAnsi="仿宋" w:eastAsia="仿宋" w:cs="方正仿宋_GB2312"/>
          <w:sz w:val="30"/>
          <w:szCs w:val="30"/>
        </w:rPr>
      </w:pPr>
      <w:r>
        <w:rPr>
          <w:rFonts w:hint="eastAsia" w:ascii="仿宋" w:hAnsi="仿宋" w:eastAsia="仿宋" w:cs="方正仿宋_GB2312"/>
          <w:sz w:val="30"/>
          <w:szCs w:val="30"/>
        </w:rPr>
        <w:t>网络接口：≥4个千兆以太网接口，支持网络链路聚合，保障多科研团队同时访问、批量骨科影像/实验数据传输的稳定性与高效性。</w:t>
      </w:r>
    </w:p>
    <w:p w14:paraId="4A2071AB">
      <w:pPr>
        <w:pStyle w:val="18"/>
        <w:numPr>
          <w:ilvl w:val="0"/>
          <w:numId w:val="2"/>
        </w:numPr>
        <w:spacing w:before="0" w:after="0" w:line="480" w:lineRule="exact"/>
        <w:ind w:left="0" w:firstLine="600" w:firstLineChars="200"/>
        <w:rPr>
          <w:rFonts w:ascii="仿宋" w:hAnsi="仿宋" w:eastAsia="仿宋" w:cs="方正仿宋_GB2312"/>
          <w:sz w:val="30"/>
          <w:szCs w:val="30"/>
        </w:rPr>
      </w:pPr>
      <w:r>
        <w:rPr>
          <w:rFonts w:hint="eastAsia" w:ascii="仿宋" w:hAnsi="仿宋" w:eastAsia="仿宋" w:cs="方正仿宋_GB2312"/>
          <w:sz w:val="30"/>
          <w:szCs w:val="30"/>
        </w:rPr>
        <w:t>电源系统：双电源冗余配置，单电源功率≥2000W，支持热插拔，避免突发断电导致的深度学习训练任务中断或科研数据损坏。</w:t>
      </w:r>
    </w:p>
    <w:p w14:paraId="37BF4CBA">
      <w:pPr>
        <w:pStyle w:val="18"/>
        <w:numPr>
          <w:ilvl w:val="0"/>
          <w:numId w:val="2"/>
        </w:numPr>
        <w:spacing w:before="0" w:after="0" w:line="480" w:lineRule="exact"/>
        <w:ind w:left="0" w:firstLine="600" w:firstLineChars="200"/>
        <w:rPr>
          <w:rFonts w:ascii="仿宋" w:hAnsi="仿宋" w:eastAsia="仿宋" w:cs="方正仿宋_GB2312"/>
          <w:sz w:val="30"/>
          <w:szCs w:val="30"/>
        </w:rPr>
      </w:pPr>
      <w:r>
        <w:rPr>
          <w:rFonts w:hint="eastAsia" w:ascii="仿宋" w:hAnsi="仿宋" w:eastAsia="仿宋" w:cs="方正仿宋_GB2312"/>
          <w:sz w:val="30"/>
          <w:szCs w:val="30"/>
        </w:rPr>
        <w:t>扩展能力：支持GPU、硬盘、内存等硬件模块扩展，预留≥2个PCIe4.0插槽，适配未来科研算力升级（如新增GPU用于更复杂模型训练）、数据存储扩容（如新增临床随访数据）需求。</w:t>
      </w:r>
    </w:p>
    <w:p w14:paraId="125B93ED">
      <w:pPr>
        <w:pStyle w:val="4"/>
        <w:spacing w:before="0" w:after="0" w:line="480" w:lineRule="exact"/>
        <w:ind w:firstLine="602" w:firstLineChars="200"/>
        <w:rPr>
          <w:rFonts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t>（二）兼容性要求（科研软件与数据适配）</w:t>
      </w:r>
    </w:p>
    <w:p w14:paraId="5663188F">
      <w:pPr>
        <w:pStyle w:val="18"/>
        <w:numPr>
          <w:ilvl w:val="0"/>
          <w:numId w:val="3"/>
        </w:numPr>
        <w:spacing w:before="0" w:after="0" w:line="480" w:lineRule="exact"/>
        <w:ind w:left="0" w:firstLine="600" w:firstLineChars="200"/>
        <w:rPr>
          <w:rFonts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兼容WindowsServer、Linux（国产）等主流服务器操作系统，满足不同科研软件的运行环境需求；</w:t>
      </w:r>
    </w:p>
    <w:p w14:paraId="00F84BE7">
      <w:pPr>
        <w:pStyle w:val="18"/>
        <w:numPr>
          <w:ilvl w:val="0"/>
          <w:numId w:val="3"/>
        </w:numPr>
        <w:spacing w:before="0" w:after="0" w:line="480" w:lineRule="exact"/>
        <w:ind w:left="0" w:firstLine="600" w:firstLineChars="200"/>
        <w:rPr>
          <w:rFonts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全面支持Python、R、SPSS、MATLAB等主流科研数据分析软件，适配深度学习模型开发、统计分析、数据可视化等科研操作，同时兼容骨科影像处理软件（如ITK-SNAP、3DSlicer）、病理图像分析工具（如QuPath）的运行；</w:t>
      </w:r>
    </w:p>
    <w:p w14:paraId="7054C646">
      <w:pPr>
        <w:pStyle w:val="18"/>
        <w:numPr>
          <w:ilvl w:val="0"/>
          <w:numId w:val="0"/>
        </w:numPr>
        <w:spacing w:before="0" w:after="0" w:line="480" w:lineRule="exact"/>
        <w:ind w:firstLine="600" w:firstLineChars="200"/>
        <w:rPr>
          <w:rFonts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3.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可无缝整合处理骨科+中医药复合数据，包括但不限于骨科临床诊疗数据、病理切片数据、影像数据、中医药实验检测数据、验方成分数据、传统正骨手法力学数据等，支持Excel、CSV、PDF、XML、DICOM（影像格式）等多格式数据导入、转换与批量处理。</w:t>
      </w:r>
    </w:p>
    <w:p w14:paraId="6E7D0627">
      <w:pPr>
        <w:pStyle w:val="3"/>
        <w:spacing w:before="0" w:after="0" w:line="480" w:lineRule="exact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三、核心科研用途</w:t>
      </w:r>
    </w:p>
    <w:p w14:paraId="2A9E05B2">
      <w:pPr>
        <w:pStyle w:val="18"/>
        <w:numPr>
          <w:ilvl w:val="0"/>
          <w:numId w:val="4"/>
        </w:numPr>
        <w:spacing w:before="0" w:after="0" w:line="480" w:lineRule="exact"/>
        <w:ind w:left="0" w:firstLine="602" w:firstLineChars="200"/>
        <w:rPr>
          <w:rFonts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0"/>
          <w:szCs w:val="30"/>
        </w:rPr>
        <w:t>多源科研数据整合存储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：集中管理骨科临床影像、病理切片、随访数据及中医药相关技术档案、实验原始数据，构建标准化科研数据库，解决当前多源数据分散存储、难以统一调用的痛点；</w:t>
      </w:r>
    </w:p>
    <w:p w14:paraId="19B7FC0C">
      <w:pPr>
        <w:pStyle w:val="18"/>
        <w:numPr>
          <w:ilvl w:val="0"/>
          <w:numId w:val="4"/>
        </w:numPr>
        <w:spacing w:before="0" w:after="0" w:line="480" w:lineRule="exact"/>
        <w:ind w:left="0" w:firstLine="602" w:firstLineChars="200"/>
        <w:rPr>
          <w:rFonts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0"/>
          <w:szCs w:val="30"/>
        </w:rPr>
        <w:t>深度学习与多组学分析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：提供高密度算力支撑影像组学、病理组学、基因组学等多组学任务，运行深度学习算法挖掘数据关联（如骨科疾病影像特征与中医药疗效相关性、骨折愈合过程与中药干预的量化关系、正骨手法力学参数优化模型等），为科研创新提供核心算力支撑；</w:t>
      </w:r>
    </w:p>
    <w:p w14:paraId="16CA5B54">
      <w:pPr>
        <w:pStyle w:val="18"/>
        <w:numPr>
          <w:ilvl w:val="0"/>
          <w:numId w:val="4"/>
        </w:numPr>
        <w:spacing w:before="0" w:after="0" w:line="480" w:lineRule="exact"/>
        <w:ind w:left="0" w:firstLine="602" w:firstLineChars="200"/>
        <w:rPr>
          <w:rFonts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0"/>
          <w:szCs w:val="30"/>
        </w:rPr>
        <w:t>在研项目高效推进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：满足医院在研科研项目（如骨科疾病中医药协定处方作用机制研究、民间正骨技术疗效验证、中药制剂对骨折愈合的影响研究等）的数据处理需求，避免因算力不足或软件适配问题导致项目延误。</w:t>
      </w:r>
    </w:p>
    <w:p w14:paraId="50004E8E">
      <w:pPr>
        <w:pStyle w:val="3"/>
        <w:spacing w:before="0" w:after="0" w:line="480" w:lineRule="exact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四、供应商资质要求</w:t>
      </w:r>
    </w:p>
    <w:p w14:paraId="12E54813">
      <w:pPr>
        <w:pStyle w:val="18"/>
        <w:numPr>
          <w:ilvl w:val="0"/>
          <w:numId w:val="5"/>
        </w:numPr>
        <w:spacing w:before="0" w:after="0" w:line="480" w:lineRule="exact"/>
        <w:ind w:left="0" w:firstLine="600" w:firstLineChars="200"/>
        <w:rPr>
          <w:rFonts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具备独立法人资格，持有有效的营业执照，经营范围包含科研服务器销售、技术服务及相关设备配套服务；</w:t>
      </w:r>
    </w:p>
    <w:p w14:paraId="66A8C92B">
      <w:pPr>
        <w:pStyle w:val="18"/>
        <w:numPr>
          <w:ilvl w:val="0"/>
          <w:numId w:val="5"/>
        </w:numPr>
        <w:spacing w:before="0" w:after="0" w:line="480" w:lineRule="exact"/>
        <w:ind w:left="0" w:firstLine="600" w:firstLineChars="200"/>
        <w:rPr>
          <w:rFonts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具备专业技术服务团队，拥有骨科/中医药领域科研服务器适配经验，能提供7×24小时远程技术支持，接到故障通知后48小时内到达现场处理；</w:t>
      </w:r>
    </w:p>
    <w:p w14:paraId="7DD192E9">
      <w:pPr>
        <w:pStyle w:val="18"/>
        <w:numPr>
          <w:ilvl w:val="0"/>
          <w:numId w:val="0"/>
        </w:numPr>
        <w:spacing w:before="0" w:after="0" w:line="480" w:lineRule="exact"/>
        <w:ind w:firstLine="600" w:firstLineChars="200"/>
        <w:rPr>
          <w:rFonts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3.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无重大违法违规记录，未被列入“信用中国”网站失信被执行人、重大税收违法失信主体名单。</w:t>
      </w:r>
    </w:p>
    <w:p w14:paraId="157A8409">
      <w:pPr>
        <w:pStyle w:val="3"/>
        <w:spacing w:before="0" w:after="0" w:line="480" w:lineRule="exact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五、售后服务要求</w:t>
      </w:r>
    </w:p>
    <w:p w14:paraId="3773DB5C">
      <w:pPr>
        <w:pStyle w:val="18"/>
        <w:numPr>
          <w:ilvl w:val="0"/>
          <w:numId w:val="6"/>
        </w:numPr>
        <w:spacing w:before="0" w:after="0" w:line="480" w:lineRule="exact"/>
        <w:ind w:left="0" w:firstLine="600" w:firstLineChars="200"/>
        <w:rPr>
          <w:rFonts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产品质保期≥3年，质保期内提供免费维修、核心硬件（CPU、内存、硬盘、GPU、阵列卡等）更换服务，确保科研算力持续稳定；</w:t>
      </w:r>
    </w:p>
    <w:p w14:paraId="73AFC605">
      <w:pPr>
        <w:pStyle w:val="18"/>
        <w:numPr>
          <w:ilvl w:val="0"/>
          <w:numId w:val="6"/>
        </w:numPr>
        <w:spacing w:before="0" w:after="0" w:line="480" w:lineRule="exact"/>
        <w:ind w:left="0" w:firstLine="600" w:firstLineChars="200"/>
        <w:rPr>
          <w:rFonts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质保期内每年提供至少1次上门巡检服务，内容包括硬件状态检测、系统优化、数据备份校验、科研软件运行适配检查等，主动排查潜在问题；</w:t>
      </w:r>
    </w:p>
    <w:p w14:paraId="4282C64E">
      <w:pPr>
        <w:pStyle w:val="18"/>
        <w:numPr>
          <w:ilvl w:val="0"/>
          <w:numId w:val="0"/>
        </w:numPr>
        <w:spacing w:before="0" w:after="0" w:line="480" w:lineRule="exact"/>
        <w:ind w:firstLine="600" w:firstLineChars="200"/>
        <w:rPr>
          <w:rFonts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3.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提供3年专属技术支持，包括远程故障诊断、深度学习框架安装调试、科研软件适配指导、数据迁移协助、算法运行优化等科研相关技术服务；</w:t>
      </w:r>
    </w:p>
    <w:p w14:paraId="2021B3CA">
      <w:pPr>
        <w:pStyle w:val="18"/>
        <w:numPr>
          <w:ilvl w:val="0"/>
          <w:numId w:val="0"/>
        </w:numPr>
        <w:spacing w:before="0" w:after="0" w:line="480" w:lineRule="exact"/>
        <w:ind w:firstLine="600" w:firstLineChars="200"/>
        <w:rPr>
          <w:rFonts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4.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提供定制化操作培训服务，内容涵盖服务器管理、数据备份与恢复、骨科/中医药科研数据处理流程、深度学习算法运行适配等，确保科研人员熟练操作。</w:t>
      </w:r>
    </w:p>
    <w:p w14:paraId="2C09995C">
      <w:pPr>
        <w:pStyle w:val="3"/>
        <w:spacing w:before="0" w:after="0" w:line="480" w:lineRule="exact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六、验收标准</w:t>
      </w:r>
    </w:p>
    <w:p w14:paraId="4553DD02">
      <w:pPr>
        <w:pStyle w:val="18"/>
        <w:numPr>
          <w:ilvl w:val="0"/>
          <w:numId w:val="7"/>
        </w:numPr>
        <w:spacing w:before="0" w:after="0" w:line="480" w:lineRule="exact"/>
        <w:ind w:left="0" w:firstLine="602" w:firstLineChars="200"/>
        <w:rPr>
          <w:rFonts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0"/>
          <w:szCs w:val="30"/>
        </w:rPr>
        <w:t>硬件性能验收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：供应商提供详细硬件配置清单，逐一核实CPU核心数、内存容量、存储容量、GPU参数等，通过专业测试工具实测硬件运算速度、数据读写速度、GPU算力，结果不低于标称值；</w:t>
      </w:r>
    </w:p>
    <w:p w14:paraId="26AEBCEF">
      <w:pPr>
        <w:pStyle w:val="18"/>
        <w:numPr>
          <w:ilvl w:val="0"/>
          <w:numId w:val="7"/>
        </w:numPr>
        <w:spacing w:before="0" w:after="0" w:line="480" w:lineRule="exact"/>
        <w:ind w:left="0" w:firstLine="602" w:firstLineChars="200"/>
        <w:rPr>
          <w:rFonts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0"/>
          <w:szCs w:val="30"/>
        </w:rPr>
        <w:t>安全功能验收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：验证数据加密功能、权限分级管理、数据备份与恢复功能正常运行，模拟数据泄露场景测试权限管控有效性，备份数据恢复完整性达100%；</w:t>
      </w:r>
    </w:p>
    <w:p w14:paraId="6B522E2E">
      <w:pPr>
        <w:pStyle w:val="18"/>
        <w:numPr>
          <w:ilvl w:val="0"/>
          <w:numId w:val="0"/>
        </w:numPr>
        <w:spacing w:before="0" w:after="0" w:line="480" w:lineRule="exact"/>
        <w:ind w:firstLine="602" w:firstLineChars="200"/>
        <w:rPr>
          <w:rFonts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0"/>
          <w:szCs w:val="30"/>
          <w:lang w:val="en-US" w:eastAsia="zh-CN"/>
        </w:rPr>
        <w:t>3.</w:t>
      </w:r>
      <w:r>
        <w:rPr>
          <w:rFonts w:hint="eastAsia" w:ascii="方正仿宋_GB2312" w:hAnsi="方正仿宋_GB2312" w:eastAsia="方正仿宋_GB2312" w:cs="方正仿宋_GB2312"/>
          <w:b/>
          <w:bCs/>
          <w:sz w:val="30"/>
          <w:szCs w:val="30"/>
        </w:rPr>
        <w:t>兼容性验收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：安装Python、R、SPSS、3DSlicer、QuPath等科研软件并完成运行测试，导入骨科影像（DICOM格式）、中医药实验数据（Excel/CSV格式）、病理切片数据等，验证多格式数据整合处理功能正常，无数据丢失或格式错乱；</w:t>
      </w:r>
    </w:p>
    <w:p w14:paraId="2E52AE08">
      <w:pPr>
        <w:pStyle w:val="18"/>
        <w:numPr>
          <w:ilvl w:val="0"/>
          <w:numId w:val="0"/>
        </w:numPr>
        <w:spacing w:before="0" w:after="0" w:line="480" w:lineRule="exact"/>
        <w:ind w:firstLine="602" w:firstLineChars="200"/>
      </w:pPr>
      <w:r>
        <w:rPr>
          <w:rFonts w:hint="eastAsia" w:ascii="方正仿宋_GB2312" w:hAnsi="方正仿宋_GB2312" w:eastAsia="方正仿宋_GB2312" w:cs="方正仿宋_GB2312"/>
          <w:b/>
          <w:bCs/>
          <w:sz w:val="30"/>
          <w:szCs w:val="30"/>
          <w:lang w:val="en-US" w:eastAsia="zh-CN"/>
        </w:rPr>
        <w:t>4.</w:t>
      </w:r>
      <w:r>
        <w:rPr>
          <w:rFonts w:hint="eastAsia" w:ascii="方正仿宋_GB2312" w:hAnsi="方正仿宋_GB2312" w:eastAsia="方正仿宋_GB2312" w:cs="方正仿宋_GB2312"/>
          <w:b/>
          <w:bCs/>
          <w:sz w:val="30"/>
          <w:szCs w:val="30"/>
        </w:rPr>
        <w:t>科研场景验收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：运行骨科影像特征提取、简单深度学习模型训练等典型科研任务，连续72小时满负载测试，服务器无死机、重启、数据损坏等异常情况，任务处理效率满足科研预期。</w:t>
      </w: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09C5BF5-7428-4A66-B1A1-7564B46290C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405F16E-3619-4ED0-BD7E-36FD11BCCB3D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59A26606-48F4-4925-9EF3-C5A09F49A88F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5BDCE8C7-ACA7-4A25-9435-3DAD0585BC25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09105355-748D-4DF0-A1DD-39B1210B1024}"/>
  </w:font>
  <w:font w:name="___WRD_EMBED_SUB_49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6" w:fontKey="{12F8D443-23D7-4D87-9DCA-ADAC8DA8B5E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15E2A1E2-C562-4BD4-8DFD-39098C5C0DD9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B774FC"/>
    <w:multiLevelType w:val="multilevel"/>
    <w:tmpl w:val="9EB774FC"/>
    <w:lvl w:ilvl="0" w:tentative="0">
      <w:start w:val="1"/>
      <w:numFmt w:val="decimal"/>
      <w:suff w:val="nothing"/>
      <w:lvlText w:val="%1."/>
      <w:lvlJc w:val="left"/>
      <w:pPr>
        <w:ind w:left="288" w:hanging="288"/>
      </w:pPr>
      <w:rPr>
        <w:rFonts w:hint="default"/>
        <w:color w:val="auto"/>
        <w:sz w:val="30"/>
        <w:szCs w:val="30"/>
      </w:rPr>
    </w:lvl>
    <w:lvl w:ilvl="1" w:tentative="0">
      <w:start w:val="1"/>
      <w:numFmt w:val="lowerLetter"/>
      <w:lvlText w:val="%2."/>
      <w:lvlJc w:val="left"/>
      <w:pPr>
        <w:ind w:left="720" w:hanging="288"/>
      </w:pPr>
      <w:rPr>
        <w:color w:val="3370FF"/>
        <w:sz w:val="22"/>
        <w:szCs w:val="22"/>
      </w:rPr>
    </w:lvl>
    <w:lvl w:ilvl="2" w:tentative="0">
      <w:start w:val="1"/>
      <w:numFmt w:val="lowerRoman"/>
      <w:lvlText w:val="%3."/>
      <w:lvlJc w:val="left"/>
      <w:pPr>
        <w:ind w:left="1152" w:hanging="288"/>
      </w:pPr>
      <w:rPr>
        <w:color w:val="3370FF"/>
        <w:sz w:val="22"/>
        <w:szCs w:val="22"/>
      </w:rPr>
    </w:lvl>
    <w:lvl w:ilvl="3" w:tentative="0">
      <w:start w:val="1"/>
      <w:numFmt w:val="decimal"/>
      <w:lvlText w:val="%4."/>
      <w:lvlJc w:val="left"/>
      <w:pPr>
        <w:ind w:left="1583" w:hanging="288"/>
      </w:pPr>
      <w:rPr>
        <w:color w:val="3370FF"/>
        <w:sz w:val="22"/>
        <w:szCs w:val="22"/>
      </w:rPr>
    </w:lvl>
    <w:lvl w:ilvl="4" w:tentative="0">
      <w:start w:val="1"/>
      <w:numFmt w:val="lowerLetter"/>
      <w:lvlText w:val="%5."/>
      <w:lvlJc w:val="left"/>
      <w:pPr>
        <w:ind w:left="2015" w:hanging="288"/>
      </w:pPr>
      <w:rPr>
        <w:color w:val="3370FF"/>
        <w:sz w:val="22"/>
        <w:szCs w:val="22"/>
      </w:rPr>
    </w:lvl>
    <w:lvl w:ilvl="5" w:tentative="0">
      <w:start w:val="1"/>
      <w:numFmt w:val="lowerRoman"/>
      <w:lvlText w:val="%6."/>
      <w:lvlJc w:val="left"/>
      <w:pPr>
        <w:ind w:left="2448" w:hanging="288"/>
      </w:pPr>
      <w:rPr>
        <w:color w:val="3370FF"/>
        <w:sz w:val="22"/>
        <w:szCs w:val="22"/>
      </w:rPr>
    </w:lvl>
    <w:lvl w:ilvl="6" w:tentative="0">
      <w:start w:val="1"/>
      <w:numFmt w:val="decimal"/>
      <w:lvlText w:val="%7."/>
      <w:lvlJc w:val="left"/>
      <w:pPr>
        <w:ind w:left="2879" w:hanging="288"/>
      </w:pPr>
      <w:rPr>
        <w:color w:val="3370FF"/>
        <w:sz w:val="22"/>
        <w:szCs w:val="22"/>
      </w:rPr>
    </w:lvl>
    <w:lvl w:ilvl="7" w:tentative="0">
      <w:start w:val="1"/>
      <w:numFmt w:val="lowerLetter"/>
      <w:lvlText w:val="%8."/>
      <w:lvlJc w:val="left"/>
      <w:pPr>
        <w:ind w:left="3312" w:hanging="288"/>
      </w:pPr>
      <w:rPr>
        <w:color w:val="3370FF"/>
        <w:sz w:val="22"/>
        <w:szCs w:val="22"/>
      </w:rPr>
    </w:lvl>
    <w:lvl w:ilvl="8" w:tentative="0">
      <w:start w:val="1"/>
      <w:numFmt w:val="lowerRoman"/>
      <w:lvlText w:val="%9."/>
      <w:lvlJc w:val="left"/>
      <w:pPr>
        <w:ind w:left="3744" w:hanging="288"/>
      </w:pPr>
      <w:rPr>
        <w:color w:val="3370FF"/>
        <w:sz w:val="22"/>
        <w:szCs w:val="22"/>
      </w:rPr>
    </w:lvl>
  </w:abstractNum>
  <w:abstractNum w:abstractNumId="1">
    <w:nsid w:val="C319F211"/>
    <w:multiLevelType w:val="multilevel"/>
    <w:tmpl w:val="C319F211"/>
    <w:lvl w:ilvl="0" w:tentative="0">
      <w:start w:val="1"/>
      <w:numFmt w:val="decimal"/>
      <w:suff w:val="nothing"/>
      <w:lvlText w:val="%1."/>
      <w:lvlJc w:val="left"/>
      <w:pPr>
        <w:ind w:left="288" w:hanging="288"/>
      </w:pPr>
      <w:rPr>
        <w:rFonts w:hint="default"/>
        <w:color w:val="auto"/>
        <w:sz w:val="30"/>
        <w:szCs w:val="30"/>
      </w:rPr>
    </w:lvl>
    <w:lvl w:ilvl="1" w:tentative="0">
      <w:start w:val="1"/>
      <w:numFmt w:val="lowerLetter"/>
      <w:lvlText w:val="%2."/>
      <w:lvlJc w:val="left"/>
      <w:pPr>
        <w:ind w:left="720" w:hanging="288"/>
      </w:pPr>
      <w:rPr>
        <w:color w:val="3370FF"/>
        <w:sz w:val="22"/>
        <w:szCs w:val="22"/>
      </w:rPr>
    </w:lvl>
    <w:lvl w:ilvl="2" w:tentative="0">
      <w:start w:val="1"/>
      <w:numFmt w:val="lowerRoman"/>
      <w:lvlText w:val="%3."/>
      <w:lvlJc w:val="left"/>
      <w:pPr>
        <w:ind w:left="1152" w:hanging="288"/>
      </w:pPr>
      <w:rPr>
        <w:color w:val="3370FF"/>
        <w:sz w:val="22"/>
        <w:szCs w:val="22"/>
      </w:rPr>
    </w:lvl>
    <w:lvl w:ilvl="3" w:tentative="0">
      <w:start w:val="1"/>
      <w:numFmt w:val="decimal"/>
      <w:lvlText w:val="%4."/>
      <w:lvlJc w:val="left"/>
      <w:pPr>
        <w:ind w:left="1583" w:hanging="288"/>
      </w:pPr>
      <w:rPr>
        <w:color w:val="3370FF"/>
        <w:sz w:val="22"/>
        <w:szCs w:val="22"/>
      </w:rPr>
    </w:lvl>
    <w:lvl w:ilvl="4" w:tentative="0">
      <w:start w:val="1"/>
      <w:numFmt w:val="lowerLetter"/>
      <w:lvlText w:val="%5."/>
      <w:lvlJc w:val="left"/>
      <w:pPr>
        <w:ind w:left="2015" w:hanging="288"/>
      </w:pPr>
      <w:rPr>
        <w:color w:val="3370FF"/>
        <w:sz w:val="22"/>
        <w:szCs w:val="22"/>
      </w:rPr>
    </w:lvl>
    <w:lvl w:ilvl="5" w:tentative="0">
      <w:start w:val="1"/>
      <w:numFmt w:val="lowerRoman"/>
      <w:lvlText w:val="%6."/>
      <w:lvlJc w:val="left"/>
      <w:pPr>
        <w:ind w:left="2448" w:hanging="288"/>
      </w:pPr>
      <w:rPr>
        <w:color w:val="3370FF"/>
        <w:sz w:val="22"/>
        <w:szCs w:val="22"/>
      </w:rPr>
    </w:lvl>
    <w:lvl w:ilvl="6" w:tentative="0">
      <w:start w:val="1"/>
      <w:numFmt w:val="decimal"/>
      <w:lvlText w:val="%7."/>
      <w:lvlJc w:val="left"/>
      <w:pPr>
        <w:ind w:left="2879" w:hanging="288"/>
      </w:pPr>
      <w:rPr>
        <w:color w:val="3370FF"/>
        <w:sz w:val="22"/>
        <w:szCs w:val="22"/>
      </w:rPr>
    </w:lvl>
    <w:lvl w:ilvl="7" w:tentative="0">
      <w:start w:val="1"/>
      <w:numFmt w:val="lowerLetter"/>
      <w:lvlText w:val="%8."/>
      <w:lvlJc w:val="left"/>
      <w:pPr>
        <w:ind w:left="3312" w:hanging="288"/>
      </w:pPr>
      <w:rPr>
        <w:color w:val="3370FF"/>
        <w:sz w:val="22"/>
        <w:szCs w:val="22"/>
      </w:rPr>
    </w:lvl>
    <w:lvl w:ilvl="8" w:tentative="0">
      <w:start w:val="1"/>
      <w:numFmt w:val="lowerRoman"/>
      <w:lvlText w:val="%9."/>
      <w:lvlJc w:val="left"/>
      <w:pPr>
        <w:ind w:left="3744" w:hanging="288"/>
      </w:pPr>
      <w:rPr>
        <w:color w:val="3370FF"/>
        <w:sz w:val="22"/>
        <w:szCs w:val="22"/>
      </w:rPr>
    </w:lvl>
  </w:abstractNum>
  <w:abstractNum w:abstractNumId="2">
    <w:nsid w:val="D66C23F4"/>
    <w:multiLevelType w:val="multilevel"/>
    <w:tmpl w:val="D66C23F4"/>
    <w:lvl w:ilvl="0" w:tentative="0">
      <w:start w:val="1"/>
      <w:numFmt w:val="decimal"/>
      <w:suff w:val="nothing"/>
      <w:lvlText w:val="%1."/>
      <w:lvlJc w:val="left"/>
      <w:pPr>
        <w:ind w:left="288" w:hanging="288"/>
      </w:pPr>
      <w:rPr>
        <w:rFonts w:hint="default"/>
        <w:color w:val="auto"/>
        <w:sz w:val="30"/>
        <w:szCs w:val="30"/>
      </w:rPr>
    </w:lvl>
    <w:lvl w:ilvl="1" w:tentative="0">
      <w:start w:val="1"/>
      <w:numFmt w:val="lowerLetter"/>
      <w:lvlText w:val="%2."/>
      <w:lvlJc w:val="left"/>
      <w:pPr>
        <w:ind w:left="720" w:hanging="288"/>
      </w:pPr>
      <w:rPr>
        <w:color w:val="3370FF"/>
        <w:sz w:val="22"/>
        <w:szCs w:val="22"/>
      </w:rPr>
    </w:lvl>
    <w:lvl w:ilvl="2" w:tentative="0">
      <w:start w:val="1"/>
      <w:numFmt w:val="lowerRoman"/>
      <w:lvlText w:val="%3."/>
      <w:lvlJc w:val="left"/>
      <w:pPr>
        <w:ind w:left="1152" w:hanging="288"/>
      </w:pPr>
      <w:rPr>
        <w:color w:val="3370FF"/>
        <w:sz w:val="22"/>
        <w:szCs w:val="22"/>
      </w:rPr>
    </w:lvl>
    <w:lvl w:ilvl="3" w:tentative="0">
      <w:start w:val="1"/>
      <w:numFmt w:val="decimal"/>
      <w:lvlText w:val="%4."/>
      <w:lvlJc w:val="left"/>
      <w:pPr>
        <w:ind w:left="1583" w:hanging="288"/>
      </w:pPr>
      <w:rPr>
        <w:color w:val="3370FF"/>
        <w:sz w:val="22"/>
        <w:szCs w:val="22"/>
      </w:rPr>
    </w:lvl>
    <w:lvl w:ilvl="4" w:tentative="0">
      <w:start w:val="1"/>
      <w:numFmt w:val="lowerLetter"/>
      <w:lvlText w:val="%5."/>
      <w:lvlJc w:val="left"/>
      <w:pPr>
        <w:ind w:left="2015" w:hanging="288"/>
      </w:pPr>
      <w:rPr>
        <w:color w:val="3370FF"/>
        <w:sz w:val="22"/>
        <w:szCs w:val="22"/>
      </w:rPr>
    </w:lvl>
    <w:lvl w:ilvl="5" w:tentative="0">
      <w:start w:val="1"/>
      <w:numFmt w:val="lowerRoman"/>
      <w:lvlText w:val="%6."/>
      <w:lvlJc w:val="left"/>
      <w:pPr>
        <w:ind w:left="2448" w:hanging="288"/>
      </w:pPr>
      <w:rPr>
        <w:color w:val="3370FF"/>
        <w:sz w:val="22"/>
        <w:szCs w:val="22"/>
      </w:rPr>
    </w:lvl>
    <w:lvl w:ilvl="6" w:tentative="0">
      <w:start w:val="1"/>
      <w:numFmt w:val="decimal"/>
      <w:lvlText w:val="%7."/>
      <w:lvlJc w:val="left"/>
      <w:pPr>
        <w:ind w:left="2879" w:hanging="288"/>
      </w:pPr>
      <w:rPr>
        <w:color w:val="3370FF"/>
        <w:sz w:val="22"/>
        <w:szCs w:val="22"/>
      </w:rPr>
    </w:lvl>
    <w:lvl w:ilvl="7" w:tentative="0">
      <w:start w:val="1"/>
      <w:numFmt w:val="lowerLetter"/>
      <w:lvlText w:val="%8."/>
      <w:lvlJc w:val="left"/>
      <w:pPr>
        <w:ind w:left="3312" w:hanging="288"/>
      </w:pPr>
      <w:rPr>
        <w:color w:val="3370FF"/>
        <w:sz w:val="22"/>
        <w:szCs w:val="22"/>
      </w:rPr>
    </w:lvl>
    <w:lvl w:ilvl="8" w:tentative="0">
      <w:start w:val="1"/>
      <w:numFmt w:val="lowerRoman"/>
      <w:lvlText w:val="%9."/>
      <w:lvlJc w:val="left"/>
      <w:pPr>
        <w:ind w:left="3744" w:hanging="288"/>
      </w:pPr>
      <w:rPr>
        <w:color w:val="3370FF"/>
        <w:sz w:val="22"/>
        <w:szCs w:val="22"/>
      </w:rPr>
    </w:lvl>
  </w:abstractNum>
  <w:abstractNum w:abstractNumId="3">
    <w:nsid w:val="E150C02B"/>
    <w:multiLevelType w:val="multilevel"/>
    <w:tmpl w:val="E150C02B"/>
    <w:lvl w:ilvl="0" w:tentative="0">
      <w:start w:val="1"/>
      <w:numFmt w:val="decimal"/>
      <w:suff w:val="nothing"/>
      <w:lvlText w:val="%1."/>
      <w:lvlJc w:val="left"/>
      <w:pPr>
        <w:ind w:left="288" w:hanging="288"/>
      </w:pPr>
      <w:rPr>
        <w:rFonts w:hint="default"/>
        <w:color w:val="auto"/>
        <w:sz w:val="30"/>
        <w:szCs w:val="30"/>
      </w:rPr>
    </w:lvl>
    <w:lvl w:ilvl="1" w:tentative="0">
      <w:start w:val="1"/>
      <w:numFmt w:val="lowerLetter"/>
      <w:lvlText w:val="%2."/>
      <w:lvlJc w:val="left"/>
      <w:pPr>
        <w:ind w:left="720" w:hanging="288"/>
      </w:pPr>
      <w:rPr>
        <w:color w:val="3370FF"/>
        <w:sz w:val="22"/>
        <w:szCs w:val="22"/>
      </w:rPr>
    </w:lvl>
    <w:lvl w:ilvl="2" w:tentative="0">
      <w:start w:val="1"/>
      <w:numFmt w:val="lowerRoman"/>
      <w:lvlText w:val="%3."/>
      <w:lvlJc w:val="left"/>
      <w:pPr>
        <w:ind w:left="1152" w:hanging="288"/>
      </w:pPr>
      <w:rPr>
        <w:color w:val="3370FF"/>
        <w:sz w:val="22"/>
        <w:szCs w:val="22"/>
      </w:rPr>
    </w:lvl>
    <w:lvl w:ilvl="3" w:tentative="0">
      <w:start w:val="1"/>
      <w:numFmt w:val="decimal"/>
      <w:lvlText w:val="%4."/>
      <w:lvlJc w:val="left"/>
      <w:pPr>
        <w:ind w:left="1583" w:hanging="288"/>
      </w:pPr>
      <w:rPr>
        <w:color w:val="3370FF"/>
        <w:sz w:val="22"/>
        <w:szCs w:val="22"/>
      </w:rPr>
    </w:lvl>
    <w:lvl w:ilvl="4" w:tentative="0">
      <w:start w:val="1"/>
      <w:numFmt w:val="lowerLetter"/>
      <w:lvlText w:val="%5."/>
      <w:lvlJc w:val="left"/>
      <w:pPr>
        <w:ind w:left="2015" w:hanging="288"/>
      </w:pPr>
      <w:rPr>
        <w:color w:val="3370FF"/>
        <w:sz w:val="22"/>
        <w:szCs w:val="22"/>
      </w:rPr>
    </w:lvl>
    <w:lvl w:ilvl="5" w:tentative="0">
      <w:start w:val="1"/>
      <w:numFmt w:val="lowerRoman"/>
      <w:lvlText w:val="%6."/>
      <w:lvlJc w:val="left"/>
      <w:pPr>
        <w:ind w:left="2448" w:hanging="288"/>
      </w:pPr>
      <w:rPr>
        <w:color w:val="3370FF"/>
        <w:sz w:val="22"/>
        <w:szCs w:val="22"/>
      </w:rPr>
    </w:lvl>
    <w:lvl w:ilvl="6" w:tentative="0">
      <w:start w:val="1"/>
      <w:numFmt w:val="decimal"/>
      <w:lvlText w:val="%7."/>
      <w:lvlJc w:val="left"/>
      <w:pPr>
        <w:ind w:left="2879" w:hanging="288"/>
      </w:pPr>
      <w:rPr>
        <w:color w:val="3370FF"/>
        <w:sz w:val="22"/>
        <w:szCs w:val="22"/>
      </w:rPr>
    </w:lvl>
    <w:lvl w:ilvl="7" w:tentative="0">
      <w:start w:val="1"/>
      <w:numFmt w:val="lowerLetter"/>
      <w:lvlText w:val="%8."/>
      <w:lvlJc w:val="left"/>
      <w:pPr>
        <w:ind w:left="3312" w:hanging="288"/>
      </w:pPr>
      <w:rPr>
        <w:color w:val="3370FF"/>
        <w:sz w:val="22"/>
        <w:szCs w:val="22"/>
      </w:rPr>
    </w:lvl>
    <w:lvl w:ilvl="8" w:tentative="0">
      <w:start w:val="1"/>
      <w:numFmt w:val="lowerRoman"/>
      <w:lvlText w:val="%9."/>
      <w:lvlJc w:val="left"/>
      <w:pPr>
        <w:ind w:left="3744" w:hanging="288"/>
      </w:pPr>
      <w:rPr>
        <w:color w:val="3370FF"/>
        <w:sz w:val="22"/>
        <w:szCs w:val="22"/>
      </w:rPr>
    </w:lvl>
  </w:abstractNum>
  <w:abstractNum w:abstractNumId="4">
    <w:nsid w:val="34BC824E"/>
    <w:multiLevelType w:val="multilevel"/>
    <w:tmpl w:val="34BC824E"/>
    <w:lvl w:ilvl="0" w:tentative="0">
      <w:start w:val="1"/>
      <w:numFmt w:val="decimal"/>
      <w:suff w:val="nothing"/>
      <w:lvlText w:val="%1."/>
      <w:lvlJc w:val="left"/>
      <w:pPr>
        <w:ind w:left="288" w:hanging="288"/>
      </w:pPr>
      <w:rPr>
        <w:rFonts w:hint="default"/>
        <w:color w:val="auto"/>
        <w:sz w:val="30"/>
        <w:szCs w:val="30"/>
      </w:rPr>
    </w:lvl>
    <w:lvl w:ilvl="1" w:tentative="0">
      <w:start w:val="1"/>
      <w:numFmt w:val="lowerLetter"/>
      <w:lvlText w:val="%2."/>
      <w:lvlJc w:val="left"/>
      <w:pPr>
        <w:ind w:left="720" w:hanging="288"/>
      </w:pPr>
      <w:rPr>
        <w:color w:val="3370FF"/>
        <w:sz w:val="22"/>
        <w:szCs w:val="22"/>
      </w:rPr>
    </w:lvl>
    <w:lvl w:ilvl="2" w:tentative="0">
      <w:start w:val="1"/>
      <w:numFmt w:val="lowerRoman"/>
      <w:lvlText w:val="%3."/>
      <w:lvlJc w:val="left"/>
      <w:pPr>
        <w:ind w:left="1152" w:hanging="288"/>
      </w:pPr>
      <w:rPr>
        <w:color w:val="3370FF"/>
        <w:sz w:val="22"/>
        <w:szCs w:val="22"/>
      </w:rPr>
    </w:lvl>
    <w:lvl w:ilvl="3" w:tentative="0">
      <w:start w:val="1"/>
      <w:numFmt w:val="decimal"/>
      <w:lvlText w:val="%4."/>
      <w:lvlJc w:val="left"/>
      <w:pPr>
        <w:ind w:left="1583" w:hanging="288"/>
      </w:pPr>
      <w:rPr>
        <w:color w:val="3370FF"/>
        <w:sz w:val="22"/>
        <w:szCs w:val="22"/>
      </w:rPr>
    </w:lvl>
    <w:lvl w:ilvl="4" w:tentative="0">
      <w:start w:val="1"/>
      <w:numFmt w:val="lowerLetter"/>
      <w:lvlText w:val="%5."/>
      <w:lvlJc w:val="left"/>
      <w:pPr>
        <w:ind w:left="2015" w:hanging="288"/>
      </w:pPr>
      <w:rPr>
        <w:color w:val="3370FF"/>
        <w:sz w:val="22"/>
        <w:szCs w:val="22"/>
      </w:rPr>
    </w:lvl>
    <w:lvl w:ilvl="5" w:tentative="0">
      <w:start w:val="1"/>
      <w:numFmt w:val="lowerRoman"/>
      <w:lvlText w:val="%6."/>
      <w:lvlJc w:val="left"/>
      <w:pPr>
        <w:ind w:left="2448" w:hanging="288"/>
      </w:pPr>
      <w:rPr>
        <w:color w:val="3370FF"/>
        <w:sz w:val="22"/>
        <w:szCs w:val="22"/>
      </w:rPr>
    </w:lvl>
    <w:lvl w:ilvl="6" w:tentative="0">
      <w:start w:val="1"/>
      <w:numFmt w:val="decimal"/>
      <w:lvlText w:val="%7."/>
      <w:lvlJc w:val="left"/>
      <w:pPr>
        <w:ind w:left="2879" w:hanging="288"/>
      </w:pPr>
      <w:rPr>
        <w:color w:val="3370FF"/>
        <w:sz w:val="22"/>
        <w:szCs w:val="22"/>
      </w:rPr>
    </w:lvl>
    <w:lvl w:ilvl="7" w:tentative="0">
      <w:start w:val="1"/>
      <w:numFmt w:val="lowerLetter"/>
      <w:lvlText w:val="%8."/>
      <w:lvlJc w:val="left"/>
      <w:pPr>
        <w:ind w:left="3312" w:hanging="288"/>
      </w:pPr>
      <w:rPr>
        <w:color w:val="3370FF"/>
        <w:sz w:val="22"/>
        <w:szCs w:val="22"/>
      </w:rPr>
    </w:lvl>
    <w:lvl w:ilvl="8" w:tentative="0">
      <w:start w:val="1"/>
      <w:numFmt w:val="lowerRoman"/>
      <w:lvlText w:val="%9."/>
      <w:lvlJc w:val="left"/>
      <w:pPr>
        <w:ind w:left="3744" w:hanging="288"/>
      </w:pPr>
      <w:rPr>
        <w:color w:val="3370FF"/>
        <w:sz w:val="22"/>
        <w:szCs w:val="22"/>
      </w:rPr>
    </w:lvl>
  </w:abstractNum>
  <w:abstractNum w:abstractNumId="5">
    <w:nsid w:val="519A7B02"/>
    <w:multiLevelType w:val="multilevel"/>
    <w:tmpl w:val="519A7B02"/>
    <w:lvl w:ilvl="0" w:tentative="0">
      <w:start w:val="1"/>
      <w:numFmt w:val="decimal"/>
      <w:suff w:val="nothing"/>
      <w:lvlText w:val="%1."/>
      <w:lvlJc w:val="left"/>
      <w:pPr>
        <w:ind w:left="288" w:hanging="288"/>
      </w:pPr>
      <w:rPr>
        <w:rFonts w:hint="default"/>
        <w:color w:val="auto"/>
        <w:sz w:val="30"/>
        <w:szCs w:val="30"/>
      </w:rPr>
    </w:lvl>
    <w:lvl w:ilvl="1" w:tentative="0">
      <w:start w:val="1"/>
      <w:numFmt w:val="lowerLetter"/>
      <w:lvlText w:val="%2."/>
      <w:lvlJc w:val="left"/>
      <w:pPr>
        <w:ind w:left="720" w:hanging="288"/>
      </w:pPr>
      <w:rPr>
        <w:color w:val="3370FF"/>
        <w:sz w:val="22"/>
        <w:szCs w:val="22"/>
      </w:rPr>
    </w:lvl>
    <w:lvl w:ilvl="2" w:tentative="0">
      <w:start w:val="1"/>
      <w:numFmt w:val="lowerRoman"/>
      <w:lvlText w:val="%3."/>
      <w:lvlJc w:val="left"/>
      <w:pPr>
        <w:ind w:left="1152" w:hanging="288"/>
      </w:pPr>
      <w:rPr>
        <w:color w:val="3370FF"/>
        <w:sz w:val="22"/>
        <w:szCs w:val="22"/>
      </w:rPr>
    </w:lvl>
    <w:lvl w:ilvl="3" w:tentative="0">
      <w:start w:val="1"/>
      <w:numFmt w:val="decimal"/>
      <w:lvlText w:val="%4."/>
      <w:lvlJc w:val="left"/>
      <w:pPr>
        <w:ind w:left="1583" w:hanging="288"/>
      </w:pPr>
      <w:rPr>
        <w:color w:val="3370FF"/>
        <w:sz w:val="22"/>
        <w:szCs w:val="22"/>
      </w:rPr>
    </w:lvl>
    <w:lvl w:ilvl="4" w:tentative="0">
      <w:start w:val="1"/>
      <w:numFmt w:val="lowerLetter"/>
      <w:lvlText w:val="%5."/>
      <w:lvlJc w:val="left"/>
      <w:pPr>
        <w:ind w:left="2015" w:hanging="288"/>
      </w:pPr>
      <w:rPr>
        <w:color w:val="3370FF"/>
        <w:sz w:val="22"/>
        <w:szCs w:val="22"/>
      </w:rPr>
    </w:lvl>
    <w:lvl w:ilvl="5" w:tentative="0">
      <w:start w:val="1"/>
      <w:numFmt w:val="lowerRoman"/>
      <w:lvlText w:val="%6."/>
      <w:lvlJc w:val="left"/>
      <w:pPr>
        <w:ind w:left="2448" w:hanging="288"/>
      </w:pPr>
      <w:rPr>
        <w:color w:val="3370FF"/>
        <w:sz w:val="22"/>
        <w:szCs w:val="22"/>
      </w:rPr>
    </w:lvl>
    <w:lvl w:ilvl="6" w:tentative="0">
      <w:start w:val="1"/>
      <w:numFmt w:val="decimal"/>
      <w:lvlText w:val="%7."/>
      <w:lvlJc w:val="left"/>
      <w:pPr>
        <w:ind w:left="2879" w:hanging="288"/>
      </w:pPr>
      <w:rPr>
        <w:color w:val="3370FF"/>
        <w:sz w:val="22"/>
        <w:szCs w:val="22"/>
      </w:rPr>
    </w:lvl>
    <w:lvl w:ilvl="7" w:tentative="0">
      <w:start w:val="1"/>
      <w:numFmt w:val="lowerLetter"/>
      <w:lvlText w:val="%8."/>
      <w:lvlJc w:val="left"/>
      <w:pPr>
        <w:ind w:left="3312" w:hanging="288"/>
      </w:pPr>
      <w:rPr>
        <w:color w:val="3370FF"/>
        <w:sz w:val="22"/>
        <w:szCs w:val="22"/>
      </w:rPr>
    </w:lvl>
    <w:lvl w:ilvl="8" w:tentative="0">
      <w:start w:val="1"/>
      <w:numFmt w:val="lowerRoman"/>
      <w:lvlText w:val="%9."/>
      <w:lvlJc w:val="left"/>
      <w:pPr>
        <w:ind w:left="3744" w:hanging="288"/>
      </w:pPr>
      <w:rPr>
        <w:color w:val="3370FF"/>
        <w:sz w:val="22"/>
        <w:szCs w:val="22"/>
      </w:rPr>
    </w:lvl>
  </w:abstractNum>
  <w:abstractNum w:abstractNumId="6">
    <w:nsid w:val="74211046"/>
    <w:multiLevelType w:val="multilevel"/>
    <w:tmpl w:val="74211046"/>
    <w:lvl w:ilvl="0" w:tentative="0">
      <w:start w:val="1"/>
      <w:numFmt w:val="decimal"/>
      <w:suff w:val="nothing"/>
      <w:lvlText w:val="%1."/>
      <w:lvlJc w:val="left"/>
      <w:pPr>
        <w:ind w:left="288" w:hanging="288"/>
      </w:pPr>
      <w:rPr>
        <w:rFonts w:hint="default"/>
        <w:color w:val="auto"/>
        <w:sz w:val="30"/>
        <w:szCs w:val="30"/>
      </w:rPr>
    </w:lvl>
    <w:lvl w:ilvl="1" w:tentative="0">
      <w:start w:val="1"/>
      <w:numFmt w:val="lowerLetter"/>
      <w:lvlText w:val="%2."/>
      <w:lvlJc w:val="left"/>
      <w:pPr>
        <w:ind w:left="720" w:hanging="288"/>
      </w:pPr>
      <w:rPr>
        <w:color w:val="3370FF"/>
        <w:sz w:val="22"/>
        <w:szCs w:val="22"/>
      </w:rPr>
    </w:lvl>
    <w:lvl w:ilvl="2" w:tentative="0">
      <w:start w:val="1"/>
      <w:numFmt w:val="lowerRoman"/>
      <w:lvlText w:val="%3."/>
      <w:lvlJc w:val="left"/>
      <w:pPr>
        <w:ind w:left="1152" w:hanging="288"/>
      </w:pPr>
      <w:rPr>
        <w:color w:val="3370FF"/>
        <w:sz w:val="22"/>
        <w:szCs w:val="22"/>
      </w:rPr>
    </w:lvl>
    <w:lvl w:ilvl="3" w:tentative="0">
      <w:start w:val="1"/>
      <w:numFmt w:val="decimal"/>
      <w:lvlText w:val="%4."/>
      <w:lvlJc w:val="left"/>
      <w:pPr>
        <w:ind w:left="1583" w:hanging="288"/>
      </w:pPr>
      <w:rPr>
        <w:color w:val="3370FF"/>
        <w:sz w:val="22"/>
        <w:szCs w:val="22"/>
      </w:rPr>
    </w:lvl>
    <w:lvl w:ilvl="4" w:tentative="0">
      <w:start w:val="1"/>
      <w:numFmt w:val="lowerLetter"/>
      <w:lvlText w:val="%5."/>
      <w:lvlJc w:val="left"/>
      <w:pPr>
        <w:ind w:left="2015" w:hanging="288"/>
      </w:pPr>
      <w:rPr>
        <w:color w:val="3370FF"/>
        <w:sz w:val="22"/>
        <w:szCs w:val="22"/>
      </w:rPr>
    </w:lvl>
    <w:lvl w:ilvl="5" w:tentative="0">
      <w:start w:val="1"/>
      <w:numFmt w:val="lowerRoman"/>
      <w:lvlText w:val="%6."/>
      <w:lvlJc w:val="left"/>
      <w:pPr>
        <w:ind w:left="2448" w:hanging="288"/>
      </w:pPr>
      <w:rPr>
        <w:color w:val="3370FF"/>
        <w:sz w:val="22"/>
        <w:szCs w:val="22"/>
      </w:rPr>
    </w:lvl>
    <w:lvl w:ilvl="6" w:tentative="0">
      <w:start w:val="1"/>
      <w:numFmt w:val="decimal"/>
      <w:lvlText w:val="%7."/>
      <w:lvlJc w:val="left"/>
      <w:pPr>
        <w:ind w:left="2879" w:hanging="288"/>
      </w:pPr>
      <w:rPr>
        <w:color w:val="3370FF"/>
        <w:sz w:val="22"/>
        <w:szCs w:val="22"/>
      </w:rPr>
    </w:lvl>
    <w:lvl w:ilvl="7" w:tentative="0">
      <w:start w:val="1"/>
      <w:numFmt w:val="lowerLetter"/>
      <w:lvlText w:val="%8."/>
      <w:lvlJc w:val="left"/>
      <w:pPr>
        <w:ind w:left="3312" w:hanging="288"/>
      </w:pPr>
      <w:rPr>
        <w:color w:val="3370FF"/>
        <w:sz w:val="22"/>
        <w:szCs w:val="22"/>
      </w:rPr>
    </w:lvl>
    <w:lvl w:ilvl="8" w:tentative="0">
      <w:start w:val="1"/>
      <w:numFmt w:val="lowerRoman"/>
      <w:lvlText w:val="%9."/>
      <w:lvlJc w:val="left"/>
      <w:pPr>
        <w:ind w:left="3744" w:hanging="288"/>
      </w:pPr>
      <w:rPr>
        <w:color w:val="3370FF"/>
        <w:sz w:val="22"/>
        <w:szCs w:val="22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displayBackgroundShape w:val="1"/>
  <w:embedTrueTypeFonts/>
  <w:saveSubsetFonts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9DB"/>
    <w:rsid w:val="000C6EC1"/>
    <w:rsid w:val="0011258F"/>
    <w:rsid w:val="001A233A"/>
    <w:rsid w:val="002C79DB"/>
    <w:rsid w:val="00473BB0"/>
    <w:rsid w:val="004F2D93"/>
    <w:rsid w:val="007E40F9"/>
    <w:rsid w:val="008E05A4"/>
    <w:rsid w:val="00956ED0"/>
    <w:rsid w:val="00B7090E"/>
    <w:rsid w:val="2D913497"/>
    <w:rsid w:val="2E553449"/>
    <w:rsid w:val="52343FE2"/>
    <w:rsid w:val="73C24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80" w:after="140" w:line="288" w:lineRule="auto"/>
      <w:outlineLvl w:val="0"/>
    </w:pPr>
    <w:rPr>
      <w:rFonts w:ascii="Arial" w:hAnsi="Arial" w:eastAsia="等线" w:cs="Arial"/>
      <w:b/>
      <w:bCs/>
      <w:sz w:val="36"/>
      <w:szCs w:val="36"/>
      <w:lang w:val="en-US" w:eastAsia="zh-CN" w:bidi="ar-SA"/>
    </w:rPr>
  </w:style>
  <w:style w:type="paragraph" w:styleId="3">
    <w:name w:val="heading 2"/>
    <w:next w:val="1"/>
    <w:qFormat/>
    <w:uiPriority w:val="0"/>
    <w:pPr>
      <w:spacing w:before="320" w:after="120" w:line="288" w:lineRule="auto"/>
      <w:outlineLvl w:val="1"/>
    </w:pPr>
    <w:rPr>
      <w:rFonts w:ascii="Arial" w:hAnsi="Arial" w:eastAsia="等线" w:cs="Arial"/>
      <w:b/>
      <w:bCs/>
      <w:sz w:val="32"/>
      <w:szCs w:val="32"/>
      <w:lang w:val="en-US" w:eastAsia="zh-CN" w:bidi="ar-SA"/>
    </w:rPr>
  </w:style>
  <w:style w:type="paragraph" w:styleId="4">
    <w:name w:val="heading 3"/>
    <w:next w:val="1"/>
    <w:qFormat/>
    <w:uiPriority w:val="0"/>
    <w:pPr>
      <w:spacing w:before="300" w:after="120" w:line="288" w:lineRule="auto"/>
      <w:outlineLvl w:val="2"/>
    </w:pPr>
    <w:rPr>
      <w:rFonts w:ascii="Arial" w:hAnsi="Arial" w:eastAsia="等线" w:cs="Arial"/>
      <w:b/>
      <w:bCs/>
      <w:sz w:val="30"/>
      <w:szCs w:val="30"/>
      <w:lang w:val="en-US" w:eastAsia="zh-CN" w:bidi="ar-SA"/>
    </w:rPr>
  </w:style>
  <w:style w:type="paragraph" w:styleId="5">
    <w:name w:val="heading 4"/>
    <w:next w:val="1"/>
    <w:qFormat/>
    <w:uiPriority w:val="0"/>
    <w:pPr>
      <w:spacing w:before="260" w:after="120" w:line="288" w:lineRule="auto"/>
      <w:outlineLvl w:val="3"/>
    </w:pPr>
    <w:rPr>
      <w:rFonts w:ascii="Arial" w:hAnsi="Arial" w:eastAsia="等线" w:cs="Arial"/>
      <w:b/>
      <w:bCs/>
      <w:sz w:val="28"/>
      <w:szCs w:val="28"/>
      <w:lang w:val="en-US" w:eastAsia="zh-CN" w:bidi="ar-SA"/>
    </w:rPr>
  </w:style>
  <w:style w:type="paragraph" w:styleId="6">
    <w:name w:val="heading 5"/>
    <w:next w:val="1"/>
    <w:qFormat/>
    <w:uiPriority w:val="0"/>
    <w:pPr>
      <w:spacing w:before="240" w:after="120" w:line="288" w:lineRule="auto"/>
      <w:outlineLvl w:val="4"/>
    </w:pPr>
    <w:rPr>
      <w:rFonts w:ascii="Arial" w:hAnsi="Arial" w:eastAsia="等线" w:cs="Arial"/>
      <w:b/>
      <w:bCs/>
      <w:sz w:val="24"/>
      <w:szCs w:val="24"/>
      <w:lang w:val="en-US" w:eastAsia="zh-CN" w:bidi="ar-SA"/>
    </w:rPr>
  </w:style>
  <w:style w:type="paragraph" w:styleId="7">
    <w:name w:val="heading 6"/>
    <w:next w:val="1"/>
    <w:qFormat/>
    <w:uiPriority w:val="0"/>
    <w:pPr>
      <w:spacing w:before="240" w:after="120" w:line="288" w:lineRule="auto"/>
      <w:outlineLvl w:val="5"/>
    </w:pPr>
    <w:rPr>
      <w:rFonts w:ascii="Arial" w:hAnsi="Arial" w:eastAsia="等线" w:cs="Arial"/>
      <w:b/>
      <w:bCs/>
      <w:sz w:val="24"/>
      <w:szCs w:val="24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er"/>
    <w:basedOn w:val="1"/>
    <w:link w:val="2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footnote text"/>
    <w:link w:val="17"/>
    <w:semiHidden/>
    <w:unhideWhenUsed/>
    <w:qFormat/>
    <w:uiPriority w:val="99"/>
    <w:rPr>
      <w:rFonts w:asciiTheme="minorHAnsi" w:hAnsiTheme="minorHAnsi" w:eastAsiaTheme="minorEastAsia" w:cstheme="minorBidi"/>
      <w:lang w:val="en-US" w:eastAsia="zh-CN" w:bidi="ar-SA"/>
    </w:rPr>
  </w:style>
  <w:style w:type="paragraph" w:styleId="11">
    <w:name w:val="Title"/>
    <w:qFormat/>
    <w:uiPriority w:val="0"/>
    <w:pPr>
      <w:spacing w:before="480" w:after="480" w:line="288" w:lineRule="auto"/>
    </w:pPr>
    <w:rPr>
      <w:rFonts w:ascii="Arial" w:hAnsi="Arial" w:eastAsia="等线" w:cs="Arial"/>
      <w:b/>
      <w:bCs/>
      <w:sz w:val="52"/>
      <w:szCs w:val="52"/>
      <w:lang w:val="en-US" w:eastAsia="zh-CN" w:bidi="ar-SA"/>
    </w:rPr>
  </w:style>
  <w:style w:type="character" w:styleId="14">
    <w:name w:val="Hyperlink"/>
    <w:unhideWhenUsed/>
    <w:qFormat/>
    <w:uiPriority w:val="99"/>
    <w:rPr>
      <w:color w:val="0563C1"/>
      <w:u w:val="single"/>
    </w:rPr>
  </w:style>
  <w:style w:type="character" w:styleId="15">
    <w:name w:val="footnote reference"/>
    <w:semiHidden/>
    <w:unhideWhenUsed/>
    <w:qFormat/>
    <w:uiPriority w:val="99"/>
    <w:rPr>
      <w:vertAlign w:val="superscript"/>
    </w:rPr>
  </w:style>
  <w:style w:type="paragraph" w:styleId="16">
    <w:name w:val="List Paragraph"/>
    <w:qFormat/>
    <w:uiPriority w:val="0"/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customStyle="1" w:styleId="17">
    <w:name w:val="脚注文本 Char"/>
    <w:link w:val="10"/>
    <w:semiHidden/>
    <w:unhideWhenUsed/>
    <w:qFormat/>
    <w:uiPriority w:val="99"/>
    <w:rPr>
      <w:sz w:val="20"/>
      <w:szCs w:val="20"/>
    </w:rPr>
  </w:style>
  <w:style w:type="paragraph" w:customStyle="1" w:styleId="18">
    <w:name w:val="_Style 13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  <w:style w:type="paragraph" w:customStyle="1" w:styleId="19">
    <w:name w:val="_Style 14"/>
    <w:qFormat/>
    <w:uiPriority w:val="0"/>
    <w:pPr>
      <w:spacing w:before="120" w:after="120" w:line="288" w:lineRule="auto"/>
    </w:pPr>
    <w:rPr>
      <w:rFonts w:ascii="Arial" w:hAnsi="Arial" w:eastAsia="等线" w:cs="Arial"/>
      <w:color w:val="8F959E"/>
      <w:sz w:val="22"/>
      <w:szCs w:val="22"/>
      <w:lang w:val="en-US" w:eastAsia="zh-CN" w:bidi="ar-SA"/>
    </w:rPr>
  </w:style>
  <w:style w:type="character" w:customStyle="1" w:styleId="20">
    <w:name w:val="页眉 Char"/>
    <w:basedOn w:val="13"/>
    <w:link w:val="9"/>
    <w:qFormat/>
    <w:uiPriority w:val="0"/>
    <w:rPr>
      <w:sz w:val="18"/>
      <w:szCs w:val="18"/>
    </w:rPr>
  </w:style>
  <w:style w:type="character" w:customStyle="1" w:styleId="21">
    <w:name w:val="页脚 Char"/>
    <w:basedOn w:val="13"/>
    <w:link w:val="8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2303</Words>
  <Characters>2511</Characters>
  <Lines>18</Lines>
  <Paragraphs>5</Paragraphs>
  <TotalTime>30</TotalTime>
  <ScaleCrop>false</ScaleCrop>
  <LinksUpToDate>false</LinksUpToDate>
  <CharactersWithSpaces>2512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2025-12-13T09:48:00Z</dcterms:created>
  <dc:creator>Un-named</dc:creator>
  <cp:lastModifiedBy>玉林骨科彭金辉</cp:lastModifiedBy>
  <dcterms:modified xsi:type="dcterms:W3CDTF">2025-12-19T02:54:12Z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eyJoZGlkIjoiMWRiZTg2NTI3NGZkNTA4YzAwNWJjM2FkODk3ZTc0MTMiLCJ1c2VySWQiOiI1Njc0MjY5MjAifQ==</vt:lpwstr>
  </property>
  <property fmtid="{D5CDD505-2E9C-101B-9397-08002B2CF9AE}" pid="3" name="KSOProductBuildVer">
    <vt:lpwstr>2052-12.1.0.24034</vt:lpwstr>
  </property>
  <property fmtid="{D5CDD505-2E9C-101B-9397-08002B2CF9AE}" pid="4" name="ICV">
    <vt:lpwstr>55255FC4E6F94BBF84F823D95E7DF2D9_12</vt:lpwstr>
  </property>
</Properties>
</file>