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89FD">
      <w:pPr>
        <w:pStyle w:val="2"/>
        <w:spacing w:before="0" w:after="0" w:line="480" w:lineRule="exact"/>
        <w:jc w:val="center"/>
        <w:rPr>
          <w:rFonts w:ascii="方正粗黑宋简体" w:hAnsi="方正粗黑宋简体" w:eastAsia="方正粗黑宋简体" w:cs="方正小标宋简体"/>
          <w:sz w:val="44"/>
          <w:szCs w:val="44"/>
        </w:rPr>
      </w:pPr>
      <w:r>
        <w:rPr>
          <w:rFonts w:hint="eastAsia" w:ascii="方正粗黑宋简体" w:hAnsi="方正粗黑宋简体" w:eastAsia="方正粗黑宋简体" w:cs="方正小标宋简体"/>
          <w:sz w:val="44"/>
          <w:szCs w:val="44"/>
        </w:rPr>
        <w:t>玉林市中西医结合骨科医院科研数据深度学习智融一体机购置项目基本要求</w:t>
      </w:r>
    </w:p>
    <w:p w14:paraId="6258AE66"/>
    <w:p w14:paraId="4E0BBD94">
      <w:pPr>
        <w:pStyle w:val="3"/>
        <w:spacing w:before="0" w:after="0" w:line="480" w:lineRule="exact"/>
        <w:rPr>
          <w:rFonts w:ascii="黑体" w:hAnsi="黑体" w:eastAsia="黑体" w:cs="黑体"/>
        </w:rPr>
      </w:pPr>
      <w:r>
        <w:rPr>
          <w:rFonts w:hint="eastAsia" w:ascii="黑体" w:hAnsi="黑体" w:eastAsia="黑体" w:cs="黑体"/>
        </w:rPr>
        <w:t>一、项目概况</w:t>
      </w:r>
    </w:p>
    <w:p w14:paraId="7C3D927D">
      <w:pPr>
        <w:pStyle w:val="18"/>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（一）采购单位：玉林市中西医结合骨科医院</w:t>
      </w:r>
    </w:p>
    <w:p w14:paraId="2CD1250A">
      <w:pPr>
        <w:pStyle w:val="18"/>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（二）项目名称：科研数据深度学习智融一体机采购项目</w:t>
      </w:r>
    </w:p>
    <w:p w14:paraId="0BCAF0F3">
      <w:pPr>
        <w:pStyle w:val="18"/>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（三）资金来源：财政专项资金</w:t>
      </w:r>
    </w:p>
    <w:p w14:paraId="595A2392">
      <w:pPr>
        <w:pStyle w:val="18"/>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（四）交货地点：玉林市中西医结合骨科医院信息科</w:t>
      </w:r>
    </w:p>
    <w:p w14:paraId="29466EA0">
      <w:pPr>
        <w:pStyle w:val="18"/>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五</w:t>
      </w:r>
      <w:r>
        <w:rPr>
          <w:rFonts w:hint="eastAsia" w:ascii="方正仿宋_GB2312" w:hAnsi="方正仿宋_GB2312" w:eastAsia="方正仿宋_GB2312" w:cs="方正仿宋_GB2312"/>
          <w:sz w:val="30"/>
          <w:szCs w:val="30"/>
        </w:rPr>
        <w:t>）交货周期：合同签订后30个工作日内完成交货、安装及调试</w:t>
      </w:r>
    </w:p>
    <w:p w14:paraId="634E0C9B">
      <w:pPr>
        <w:pStyle w:val="18"/>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六</w:t>
      </w:r>
      <w:r>
        <w:rPr>
          <w:rFonts w:hint="eastAsia" w:ascii="方正仿宋_GB2312" w:hAnsi="方正仿宋_GB2312" w:eastAsia="方正仿宋_GB2312" w:cs="方正仿宋_GB2312"/>
          <w:sz w:val="30"/>
          <w:szCs w:val="30"/>
        </w:rPr>
        <w:t>）核心适配说明：本项目聚焦骨科+中医药交叉领域科研需求，需支撑大规模影像组学、病理组学、多组学数据整合及深度学习算法运行。</w:t>
      </w:r>
    </w:p>
    <w:p w14:paraId="7E9D7B63">
      <w:pPr>
        <w:pStyle w:val="3"/>
        <w:spacing w:before="0" w:after="0" w:line="480" w:lineRule="exact"/>
        <w:rPr>
          <w:rFonts w:ascii="黑体" w:hAnsi="黑体" w:eastAsia="黑体" w:cs="黑体"/>
        </w:rPr>
      </w:pPr>
      <w:r>
        <w:rPr>
          <w:rFonts w:hint="eastAsia" w:ascii="黑体" w:hAnsi="黑体" w:eastAsia="黑体" w:cs="黑体"/>
        </w:rPr>
        <w:t>二、核心技术要求</w:t>
      </w:r>
    </w:p>
    <w:p w14:paraId="330DEB58">
      <w:pPr>
        <w:pStyle w:val="4"/>
        <w:spacing w:before="0" w:after="0" w:line="480" w:lineRule="exact"/>
        <w:ind w:firstLine="602" w:firstLineChars="200"/>
        <w:rPr>
          <w:rFonts w:ascii="宋体" w:hAnsi="宋体" w:eastAsia="宋体" w:cs="方正仿宋_GB2312"/>
        </w:rPr>
      </w:pPr>
      <w:r>
        <w:rPr>
          <w:rFonts w:hint="eastAsia" w:ascii="宋体" w:hAnsi="宋体" w:eastAsia="宋体" w:cs="方正仿宋_GB2312"/>
        </w:rPr>
        <w:t>（一）</w:t>
      </w:r>
      <w:r>
        <w:rPr>
          <w:rFonts w:hint="eastAsia" w:ascii="宋体" w:hAnsi="宋体" w:eastAsia="宋体" w:cs="宋体"/>
        </w:rPr>
        <w:t>智融</w:t>
      </w:r>
      <w:r>
        <w:rPr>
          <w:rFonts w:hint="eastAsia" w:ascii="宋体" w:hAnsi="宋体" w:eastAsia="宋体" w:cs="___WRD_EMBED_SUB_49"/>
        </w:rPr>
        <w:t>一体机</w:t>
      </w:r>
      <w:r>
        <w:rPr>
          <w:rFonts w:hint="eastAsia" w:ascii="宋体" w:hAnsi="宋体" w:eastAsia="宋体" w:cs="方正仿宋_GB2312"/>
        </w:rPr>
        <w:t>配置要求（科研算力刚需配置）</w:t>
      </w:r>
    </w:p>
    <w:p w14:paraId="6C8A3FAA">
      <w:pPr>
        <w:pStyle w:val="18"/>
        <w:spacing w:before="0" w:after="0" w:line="480" w:lineRule="exact"/>
        <w:ind w:left="600"/>
        <w:rPr>
          <w:rFonts w:cs="方正仿宋_GB2312" w:asciiTheme="majorEastAsia" w:hAnsiTheme="majorEastAsia" w:eastAsiaTheme="majorEastAsia"/>
          <w:b/>
          <w:bCs/>
          <w:sz w:val="30"/>
          <w:szCs w:val="30"/>
        </w:rPr>
      </w:pPr>
      <w:bookmarkStart w:id="0" w:name="OLE_LINK8"/>
      <w:r>
        <w:rPr>
          <w:rFonts w:hint="eastAsia" w:cs="方正仿宋_GB2312" w:asciiTheme="majorEastAsia" w:hAnsiTheme="majorEastAsia" w:eastAsiaTheme="majorEastAsia"/>
          <w:b/>
          <w:bCs/>
          <w:sz w:val="30"/>
          <w:szCs w:val="30"/>
        </w:rPr>
        <w:t>①</w:t>
      </w:r>
      <w:bookmarkEnd w:id="0"/>
      <w:r>
        <w:rPr>
          <w:rFonts w:hint="eastAsia" w:cs="方正仿宋_GB2312" w:asciiTheme="majorEastAsia" w:hAnsiTheme="majorEastAsia" w:eastAsiaTheme="majorEastAsia"/>
          <w:b/>
          <w:bCs/>
          <w:sz w:val="30"/>
          <w:szCs w:val="30"/>
        </w:rPr>
        <w:t>软件功能</w:t>
      </w:r>
    </w:p>
    <w:p w14:paraId="0EB93D1E">
      <w:pPr>
        <w:pStyle w:val="18"/>
        <w:numPr>
          <w:ilvl w:val="0"/>
          <w:numId w:val="1"/>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安装深度学习框架，支持GPU</w:t>
      </w:r>
      <w:r>
        <w:rPr>
          <w:rFonts w:hint="eastAsia" w:ascii="仿宋" w:hAnsi="仿宋" w:eastAsia="仿宋" w:cs="宋体"/>
          <w:sz w:val="30"/>
          <w:szCs w:val="30"/>
        </w:rPr>
        <w:t>芯</w:t>
      </w:r>
      <w:r>
        <w:rPr>
          <w:rFonts w:hint="eastAsia" w:ascii="仿宋" w:hAnsi="仿宋" w:eastAsia="仿宋" w:cs="___WRD_EMBED_SUB_49"/>
          <w:sz w:val="30"/>
          <w:szCs w:val="30"/>
        </w:rPr>
        <w:t>片的高效推理；</w:t>
      </w:r>
    </w:p>
    <w:p w14:paraId="736A7226">
      <w:pPr>
        <w:pStyle w:val="18"/>
        <w:numPr>
          <w:ilvl w:val="0"/>
          <w:numId w:val="1"/>
        </w:numPr>
        <w:spacing w:before="0" w:after="0" w:line="480" w:lineRule="exact"/>
        <w:ind w:left="0" w:firstLine="600" w:firstLineChars="200"/>
        <w:rPr>
          <w:rFonts w:ascii="仿宋" w:hAnsi="仿宋" w:eastAsia="仿宋" w:cs="方正仿宋_GB2312"/>
          <w:sz w:val="30"/>
          <w:szCs w:val="30"/>
        </w:rPr>
      </w:pPr>
      <w:bookmarkStart w:id="1" w:name="OLE_LINK7"/>
      <w:r>
        <w:rPr>
          <w:rFonts w:hint="eastAsia" w:ascii="仿宋" w:hAnsi="仿宋" w:eastAsia="仿宋" w:cs="方正仿宋_GB2312"/>
          <w:sz w:val="30"/>
          <w:szCs w:val="30"/>
        </w:rPr>
        <w:t>支持</w:t>
      </w:r>
      <w:bookmarkEnd w:id="1"/>
      <w:r>
        <w:rPr>
          <w:rFonts w:hint="eastAsia" w:ascii="仿宋" w:hAnsi="仿宋" w:eastAsia="仿宋" w:cs="宋体"/>
          <w:sz w:val="30"/>
          <w:szCs w:val="30"/>
        </w:rPr>
        <w:t>部署</w:t>
      </w:r>
      <w:r>
        <w:rPr>
          <w:rFonts w:hint="eastAsia" w:ascii="仿宋" w:hAnsi="仿宋" w:eastAsia="仿宋" w:cs="___WRD_EMBED_SUB_49"/>
          <w:sz w:val="30"/>
          <w:szCs w:val="30"/>
        </w:rPr>
        <w:t>模型管理工具，用于管理模型版本、加速推理（如量化、并行计算）；</w:t>
      </w:r>
    </w:p>
    <w:p w14:paraId="55AA1C3B">
      <w:pPr>
        <w:pStyle w:val="18"/>
        <w:numPr>
          <w:ilvl w:val="0"/>
          <w:numId w:val="1"/>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支持集中管理骨科临床影像、病理切片、随访数据及中医药相关技术档案、实验原始数据</w:t>
      </w:r>
    </w:p>
    <w:p w14:paraId="7A09EA28">
      <w:pPr>
        <w:pStyle w:val="18"/>
        <w:numPr>
          <w:ilvl w:val="0"/>
          <w:numId w:val="1"/>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支持影像组学、病理组学、基因组学等多组学任务，运行深度学习算法挖掘数据关联（如骨科疾病影像特征与中医药疗效相关性、骨折愈合过程与中药干预的量化关系、正骨手法力学参数优化模型等）；</w:t>
      </w:r>
    </w:p>
    <w:p w14:paraId="696901DB">
      <w:pPr>
        <w:pStyle w:val="18"/>
        <w:spacing w:before="0" w:after="0" w:line="480" w:lineRule="exact"/>
        <w:ind w:left="600"/>
        <w:rPr>
          <w:rFonts w:cs="方正仿宋_GB2312" w:asciiTheme="majorEastAsia" w:hAnsiTheme="majorEastAsia" w:eastAsiaTheme="majorEastAsia"/>
          <w:b/>
          <w:bCs/>
          <w:sz w:val="30"/>
          <w:szCs w:val="30"/>
        </w:rPr>
      </w:pPr>
      <w:r>
        <w:rPr>
          <w:rFonts w:hint="eastAsia" w:cs="方正仿宋_GB2312" w:asciiTheme="majorEastAsia" w:hAnsiTheme="majorEastAsia" w:eastAsiaTheme="majorEastAsia"/>
          <w:b/>
          <w:bCs/>
          <w:sz w:val="30"/>
          <w:szCs w:val="30"/>
        </w:rPr>
        <w:t>②硬件配置</w:t>
      </w:r>
    </w:p>
    <w:p w14:paraId="7C791C2D">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处理器：2颗CPU，单颗≥56核处理器，支持多线程运算，主频≥2.0GHz，缓存≥100MB，具备超强并行处理能力，满足骨科影像数据、中医药实验数据的大规模并行计算及深度学习模型训练需求。</w:t>
      </w:r>
    </w:p>
    <w:p w14:paraId="4D3AE096">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运行内存：≥1024GB，内存规格为DDR5及以上，内存频率≥5600MHz，支持内存容错技术，保障长时间高负载数据处理（如病理切片像素级分析、多组学数据关联挖掘）过程稳定无中断。</w:t>
      </w:r>
    </w:p>
    <w:p w14:paraId="66C6A63E">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存储系统：系统盘配置2块≥1.92T SSD，主存硬盘配置≥4块，单块容量≥8TB，支持骨科临床诊疗数据、中医药验方数据、科研实验原始数据等海量数据的长期归档存储；</w:t>
      </w:r>
    </w:p>
    <w:p w14:paraId="6DE48ADD">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配备阵列卡，缓存≥2GB，支持RAID0/1/5/6等阵列模式，实现科研数据冗余保护，降低数据丢失风险。</w:t>
      </w:r>
    </w:p>
    <w:p w14:paraId="73B0212A">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图形处理单元（GPU）：≥2块专业深度学习GPU，单卡显存≥48GB，支持CUDA核心≥18000，完美适配TensorFlow、PyTorch等主流深度学习框架，满足骨科影像组学特征提取、病理组学模型训练、中医药疗效预测模型运算等高强度算力需求。</w:t>
      </w:r>
    </w:p>
    <w:p w14:paraId="46F54337">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网络接口：≥4个千兆以太网接口，支持网络链路聚合，保障多科研团队同时访问、批量骨科影像/实验数据传输的稳定性与高效性。</w:t>
      </w:r>
    </w:p>
    <w:p w14:paraId="4A2071AB">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电源系统：双电源冗余配置，单电源功率≥2000W，支持热插拔，避免突发断电导致的深度学习训练任务中断或科研数据损坏。</w:t>
      </w:r>
    </w:p>
    <w:p w14:paraId="37BF4CBA">
      <w:pPr>
        <w:pStyle w:val="18"/>
        <w:numPr>
          <w:ilvl w:val="0"/>
          <w:numId w:val="2"/>
        </w:numPr>
        <w:spacing w:before="0" w:after="0" w:line="480" w:lineRule="exact"/>
        <w:ind w:left="0" w:firstLine="600" w:firstLineChars="200"/>
        <w:rPr>
          <w:rFonts w:ascii="仿宋" w:hAnsi="仿宋" w:eastAsia="仿宋" w:cs="方正仿宋_GB2312"/>
          <w:sz w:val="30"/>
          <w:szCs w:val="30"/>
        </w:rPr>
      </w:pPr>
      <w:r>
        <w:rPr>
          <w:rFonts w:hint="eastAsia" w:ascii="仿宋" w:hAnsi="仿宋" w:eastAsia="仿宋" w:cs="方正仿宋_GB2312"/>
          <w:sz w:val="30"/>
          <w:szCs w:val="30"/>
        </w:rPr>
        <w:t>扩展能力：支持GPU、硬盘、内存等硬件模块扩展，预留≥2个PCIe4.0插槽，适配未来科研算力升级（如新增GPU用于更复杂模型训练）、数据存储扩容（如新增临床随访数据）需求。</w:t>
      </w:r>
    </w:p>
    <w:p w14:paraId="125B93ED">
      <w:pPr>
        <w:pStyle w:val="4"/>
        <w:spacing w:before="0" w:after="0" w:line="480" w:lineRule="exact"/>
        <w:ind w:firstLine="602"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（二）兼容性要求（科研软件与数据适配）</w:t>
      </w:r>
    </w:p>
    <w:p w14:paraId="5663188F">
      <w:pPr>
        <w:pStyle w:val="18"/>
        <w:numPr>
          <w:ilvl w:val="0"/>
          <w:numId w:val="3"/>
        </w:numPr>
        <w:spacing w:before="0" w:after="0" w:line="480" w:lineRule="exact"/>
        <w:ind w:left="0"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兼容WindowsServer、Linux（国产）等主流服务器操作系统，满足不同科研软件的运行环境需求；</w:t>
      </w:r>
    </w:p>
    <w:p w14:paraId="00F84BE7">
      <w:pPr>
        <w:pStyle w:val="18"/>
        <w:numPr>
          <w:ilvl w:val="0"/>
          <w:numId w:val="3"/>
        </w:numPr>
        <w:spacing w:before="0" w:after="0" w:line="480" w:lineRule="exact"/>
        <w:ind w:left="0"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全面支持Python、R、SPSS、MATLAB等主流科研数据分析软件，适配深度学习模型开发、统计分析、数据可视化等科研操作，同时兼容骨科影像处理软件（如ITK-SNAP、3DSlicer）、病理图像分析工具的运行；</w:t>
      </w:r>
    </w:p>
    <w:p w14:paraId="7054C646">
      <w:pPr>
        <w:pStyle w:val="18"/>
        <w:numPr>
          <w:ilvl w:val="0"/>
          <w:numId w:val="0"/>
        </w:numPr>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可无缝整合处理骨科+中医药复合数据，包括但不限于骨科临床诊疗数据、病理切片数据、影像数据、中医药实验检测数据、验方成分数据、传统正骨手法力学数据等，支持Excel、CSV、PDF、XML、DICOM（影像格式）等多格式数据导入、转换与批量处理。</w:t>
      </w:r>
    </w:p>
    <w:p w14:paraId="6E7D0627">
      <w:pPr>
        <w:pStyle w:val="3"/>
        <w:spacing w:before="0" w:after="0" w:line="480" w:lineRule="exact"/>
        <w:rPr>
          <w:rFonts w:ascii="黑体" w:hAnsi="黑体" w:eastAsia="黑体" w:cs="黑体"/>
        </w:rPr>
      </w:pPr>
      <w:r>
        <w:rPr>
          <w:rFonts w:hint="eastAsia" w:ascii="黑体" w:hAnsi="黑体" w:eastAsia="黑体" w:cs="黑体"/>
        </w:rPr>
        <w:t>三、核心科研用途</w:t>
      </w:r>
    </w:p>
    <w:p w14:paraId="2A9E05B2">
      <w:pPr>
        <w:pStyle w:val="18"/>
        <w:numPr>
          <w:ilvl w:val="0"/>
          <w:numId w:val="4"/>
        </w:numPr>
        <w:spacing w:before="0" w:after="0" w:line="480" w:lineRule="exact"/>
        <w:ind w:left="0" w:firstLine="602"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多源科研数据整合存储</w:t>
      </w:r>
      <w:r>
        <w:rPr>
          <w:rFonts w:hint="eastAsia" w:ascii="方正仿宋_GB2312" w:hAnsi="方正仿宋_GB2312" w:eastAsia="方正仿宋_GB2312" w:cs="方正仿宋_GB2312"/>
          <w:sz w:val="30"/>
          <w:szCs w:val="30"/>
        </w:rPr>
        <w:t>：集中管理骨科临床影像、病理切片、随访数据及中医药相关技术档案、实验原始数据，构建标准化科研数据库，解决当前多源数据分散存储、难以统一调用的痛点；</w:t>
      </w:r>
    </w:p>
    <w:p w14:paraId="19B7FC0C">
      <w:pPr>
        <w:pStyle w:val="18"/>
        <w:numPr>
          <w:ilvl w:val="0"/>
          <w:numId w:val="4"/>
        </w:numPr>
        <w:spacing w:before="0" w:after="0" w:line="480" w:lineRule="exact"/>
        <w:ind w:left="0" w:firstLine="602"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深度学习与多组学分析</w:t>
      </w:r>
      <w:r>
        <w:rPr>
          <w:rFonts w:hint="eastAsia" w:ascii="方正仿宋_GB2312" w:hAnsi="方正仿宋_GB2312" w:eastAsia="方正仿宋_GB2312" w:cs="方正仿宋_GB2312"/>
          <w:sz w:val="30"/>
          <w:szCs w:val="30"/>
        </w:rPr>
        <w:t>：提供高密度算力支撑影像组学、病理组学、基因组学等多组学任务，运行深度学习算法挖掘数据关联（如骨科疾病影像特征与中医药疗效相关性、骨折愈合过程与中药干预的量化关系、正骨手法力学参数优化模型等），为科研创新提供核心算力支撑；</w:t>
      </w:r>
    </w:p>
    <w:p w14:paraId="16CA5B54">
      <w:pPr>
        <w:pStyle w:val="18"/>
        <w:numPr>
          <w:ilvl w:val="0"/>
          <w:numId w:val="4"/>
        </w:numPr>
        <w:spacing w:before="0" w:after="0" w:line="480" w:lineRule="exact"/>
        <w:ind w:left="0" w:firstLine="602"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在研项目高效推进</w:t>
      </w:r>
      <w:r>
        <w:rPr>
          <w:rFonts w:hint="eastAsia" w:ascii="方正仿宋_GB2312" w:hAnsi="方正仿宋_GB2312" w:eastAsia="方正仿宋_GB2312" w:cs="方正仿宋_GB2312"/>
          <w:sz w:val="30"/>
          <w:szCs w:val="30"/>
        </w:rPr>
        <w:t>：满足医院在研科研项目（如骨科疾病中医药协定处方作用机制研究、民间正骨技术疗效验证、中药制剂对骨折愈合的影响研究等）的数据处理需求，避免因算力不足或软件适配问题导致项目延误。</w:t>
      </w:r>
    </w:p>
    <w:p w14:paraId="50004E8E">
      <w:pPr>
        <w:pStyle w:val="3"/>
        <w:spacing w:before="0" w:after="0" w:line="480" w:lineRule="exact"/>
        <w:rPr>
          <w:rFonts w:ascii="黑体" w:hAnsi="黑体" w:eastAsia="黑体" w:cs="黑体"/>
        </w:rPr>
      </w:pPr>
      <w:r>
        <w:rPr>
          <w:rFonts w:hint="eastAsia" w:ascii="黑体" w:hAnsi="黑体" w:eastAsia="黑体" w:cs="黑体"/>
        </w:rPr>
        <w:t>四、供应商资质要求</w:t>
      </w:r>
    </w:p>
    <w:p w14:paraId="12E54813">
      <w:pPr>
        <w:pStyle w:val="18"/>
        <w:numPr>
          <w:ilvl w:val="0"/>
          <w:numId w:val="5"/>
        </w:numPr>
        <w:spacing w:before="0" w:after="0" w:line="480" w:lineRule="exact"/>
        <w:ind w:left="0"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具备独立法人资格，持有有效的营业执照，经营范围包含科研服务器销售、技术服务及相关设备配套服务；</w:t>
      </w:r>
    </w:p>
    <w:p w14:paraId="66A8C92B">
      <w:pPr>
        <w:pStyle w:val="18"/>
        <w:numPr>
          <w:ilvl w:val="0"/>
          <w:numId w:val="5"/>
        </w:numPr>
        <w:spacing w:before="0" w:after="0" w:line="480" w:lineRule="exact"/>
        <w:ind w:left="0"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具备专业技术服务团队，拥有骨科/中医药领域科研服务器适配经验，能提供7×24小时远程技术支持，接到故障通知后48小时内到达现场处理；</w:t>
      </w:r>
    </w:p>
    <w:p w14:paraId="7DD192E9">
      <w:pPr>
        <w:pStyle w:val="18"/>
        <w:numPr>
          <w:ilvl w:val="0"/>
          <w:numId w:val="0"/>
        </w:numPr>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无重大违法违规记录，未被列入“信用中国”网站失信被执行人、重大税收违法失信主体名单。</w:t>
      </w:r>
    </w:p>
    <w:p w14:paraId="157A8409">
      <w:pPr>
        <w:pStyle w:val="3"/>
        <w:spacing w:before="0" w:after="0" w:line="480" w:lineRule="exact"/>
        <w:rPr>
          <w:rFonts w:ascii="黑体" w:hAnsi="黑体" w:eastAsia="黑体" w:cs="黑体"/>
        </w:rPr>
      </w:pPr>
      <w:r>
        <w:rPr>
          <w:rFonts w:hint="eastAsia" w:ascii="黑体" w:hAnsi="黑体" w:eastAsia="黑体" w:cs="黑体"/>
        </w:rPr>
        <w:t>五、售后服务要求</w:t>
      </w:r>
    </w:p>
    <w:p w14:paraId="3773DB5C">
      <w:pPr>
        <w:pStyle w:val="18"/>
        <w:numPr>
          <w:ilvl w:val="0"/>
          <w:numId w:val="6"/>
        </w:numPr>
        <w:spacing w:before="0" w:after="0" w:line="480" w:lineRule="exact"/>
        <w:ind w:left="0"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产品质保期≥3年，质保期内提供免费维修、核心硬件（CPU、内存、硬盘、GPU、阵列卡等）更换服务，确保科研算力持续稳定；</w:t>
      </w:r>
    </w:p>
    <w:p w14:paraId="73AFC605">
      <w:pPr>
        <w:pStyle w:val="18"/>
        <w:numPr>
          <w:ilvl w:val="0"/>
          <w:numId w:val="6"/>
        </w:numPr>
        <w:spacing w:before="0" w:after="0" w:line="480" w:lineRule="exact"/>
        <w:ind w:left="0"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质保期内每年提供至少1次上门巡检服务，内容包括硬件状态检测、系统优化、数据备份校验、科研软件运行适配检查等，主动排查潜在问题；</w:t>
      </w:r>
    </w:p>
    <w:p w14:paraId="4282C64E">
      <w:pPr>
        <w:pStyle w:val="18"/>
        <w:numPr>
          <w:ilvl w:val="0"/>
          <w:numId w:val="0"/>
        </w:numPr>
        <w:spacing w:before="0" w:after="0" w:line="480" w:lineRule="exact"/>
        <w:ind w:firstLine="600"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提供3年专属技术支持，包括远程故障诊断、深度学习框架安装调试、科研软件适配指导、数据迁移协助、算法运行优化等科研相关技术服务；</w:t>
      </w:r>
    </w:p>
    <w:p w14:paraId="2021B3CA">
      <w:pPr>
        <w:pStyle w:val="18"/>
        <w:numPr>
          <w:ilvl w:val="0"/>
          <w:numId w:val="0"/>
        </w:numPr>
        <w:spacing w:before="0" w:after="0" w:line="480" w:lineRule="exact"/>
        <w:ind w:firstLine="600" w:firstLineChars="200"/>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提供定制化操作培训服务，内容涵盖服务器管理、数据备份与恢复、骨科/中医药科研数据处理流程、深度学习算法运行适配等，确保科研人员熟练操作。</w:t>
      </w:r>
      <w:r>
        <w:rPr>
          <w:rFonts w:hint="eastAsia" w:ascii="方正仿宋_GB2312" w:hAnsi="方正仿宋_GB2312" w:eastAsia="方正仿宋_GB2312" w:cs="方正仿宋_GB2312"/>
          <w:sz w:val="30"/>
          <w:szCs w:val="30"/>
          <w:lang w:val="en-US" w:eastAsia="zh-CN"/>
        </w:rPr>
        <w:t>具体内容如下：包含经典学习方法阶段（数据处理基础知识、图像预处理与</w:t>
      </w:r>
      <w:bookmarkStart w:id="2" w:name="_GoBack"/>
      <w:bookmarkEnd w:id="2"/>
      <w:r>
        <w:rPr>
          <w:rFonts w:hint="eastAsia" w:ascii="方正仿宋_GB2312" w:hAnsi="方正仿宋_GB2312" w:eastAsia="方正仿宋_GB2312" w:cs="方正仿宋_GB2312"/>
          <w:sz w:val="30"/>
          <w:szCs w:val="30"/>
          <w:lang w:val="en-US" w:eastAsia="zh-CN"/>
        </w:rPr>
        <w:t>特征提取、机器学习案例与实操）、深度学习全阶段（深度学习基础知识、计算机视觉与注意力机制、病理多实例学习实操、CT/MRI 深度学习实操、生信分析（技术升级版））的全模块课程；同时涵盖多模态处理相关内容（临床特征深度处理为基础内容已包含在课程内，文字信息深度处理、生物信息深度处理、生物力学特征处理可按需配套对应内容）；配套服务答疑，覆盖多模态核心内容，并紧跟最新研究持续更新内容（≥3年）。</w:t>
      </w:r>
    </w:p>
    <w:p w14:paraId="2C09995C">
      <w:pPr>
        <w:pStyle w:val="3"/>
        <w:spacing w:before="0" w:after="0" w:line="480" w:lineRule="exact"/>
        <w:rPr>
          <w:rFonts w:ascii="黑体" w:hAnsi="黑体" w:eastAsia="黑体" w:cs="黑体"/>
        </w:rPr>
      </w:pPr>
      <w:r>
        <w:rPr>
          <w:rFonts w:hint="eastAsia" w:ascii="黑体" w:hAnsi="黑体" w:eastAsia="黑体" w:cs="黑体"/>
        </w:rPr>
        <w:t>六、验收标准</w:t>
      </w:r>
    </w:p>
    <w:p w14:paraId="4553DD02">
      <w:pPr>
        <w:pStyle w:val="18"/>
        <w:numPr>
          <w:ilvl w:val="0"/>
          <w:numId w:val="7"/>
        </w:numPr>
        <w:spacing w:before="0" w:after="0" w:line="480" w:lineRule="exact"/>
        <w:ind w:left="0" w:firstLine="602"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硬件性能验收</w:t>
      </w:r>
      <w:r>
        <w:rPr>
          <w:rFonts w:hint="eastAsia" w:ascii="方正仿宋_GB2312" w:hAnsi="方正仿宋_GB2312" w:eastAsia="方正仿宋_GB2312" w:cs="方正仿宋_GB2312"/>
          <w:sz w:val="30"/>
          <w:szCs w:val="30"/>
        </w:rPr>
        <w:t>：供应商提供详细硬件配置清单，逐一核实CPU核心数、内存容量、存储容量、GPU参数等，通过专业测试工具实测硬件运算速度、数据读写速度、GPU算力，结果不低于标称值；</w:t>
      </w:r>
    </w:p>
    <w:p w14:paraId="26AEBCEF">
      <w:pPr>
        <w:pStyle w:val="18"/>
        <w:numPr>
          <w:ilvl w:val="0"/>
          <w:numId w:val="7"/>
        </w:numPr>
        <w:spacing w:before="0" w:after="0" w:line="480" w:lineRule="exact"/>
        <w:ind w:left="0" w:firstLine="602"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安全功能验收</w:t>
      </w:r>
      <w:r>
        <w:rPr>
          <w:rFonts w:hint="eastAsia" w:ascii="方正仿宋_GB2312" w:hAnsi="方正仿宋_GB2312" w:eastAsia="方正仿宋_GB2312" w:cs="方正仿宋_GB2312"/>
          <w:sz w:val="30"/>
          <w:szCs w:val="30"/>
        </w:rPr>
        <w:t>：验证数据加密功能、权限分级管理、数据备份与恢复功能正常运行，模拟数据泄露场景测试权限管控有效性，备份数据恢复完整性达100%；</w:t>
      </w:r>
    </w:p>
    <w:p w14:paraId="6B522E2E">
      <w:pPr>
        <w:pStyle w:val="18"/>
        <w:numPr>
          <w:ilvl w:val="0"/>
          <w:numId w:val="0"/>
        </w:numPr>
        <w:spacing w:before="0" w:after="0" w:line="480" w:lineRule="exact"/>
        <w:ind w:firstLine="602" w:firstLineChars="200"/>
        <w:rPr>
          <w:rFonts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lang w:val="en-US" w:eastAsia="zh-CN"/>
        </w:rPr>
        <w:t>3.</w:t>
      </w:r>
      <w:r>
        <w:rPr>
          <w:rFonts w:hint="eastAsia" w:ascii="方正仿宋_GB2312" w:hAnsi="方正仿宋_GB2312" w:eastAsia="方正仿宋_GB2312" w:cs="方正仿宋_GB2312"/>
          <w:b/>
          <w:bCs/>
          <w:sz w:val="30"/>
          <w:szCs w:val="30"/>
        </w:rPr>
        <w:t>兼容性验收</w:t>
      </w:r>
      <w:r>
        <w:rPr>
          <w:rFonts w:hint="eastAsia" w:ascii="方正仿宋_GB2312" w:hAnsi="方正仿宋_GB2312" w:eastAsia="方正仿宋_GB2312" w:cs="方正仿宋_GB2312"/>
          <w:sz w:val="30"/>
          <w:szCs w:val="30"/>
        </w:rPr>
        <w:t>：安装Python、R、SPSS、3DSlicer、Cytoscape</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QuPath等科研软件并完成运行测试，导入骨科影像（DICOM格式）、中医药实验数据（Excel/CSV格式）、病理切片数据等，验证多格式数据整合处理功能正常，无数据丢失或格式错乱；</w:t>
      </w:r>
    </w:p>
    <w:p w14:paraId="2E52AE08">
      <w:pPr>
        <w:pStyle w:val="18"/>
        <w:numPr>
          <w:ilvl w:val="0"/>
          <w:numId w:val="0"/>
        </w:numPr>
        <w:spacing w:before="0" w:after="0" w:line="480" w:lineRule="exact"/>
        <w:ind w:firstLine="602" w:firstLineChars="200"/>
      </w:pPr>
      <w:r>
        <w:rPr>
          <w:rFonts w:hint="eastAsia" w:ascii="方正仿宋_GB2312" w:hAnsi="方正仿宋_GB2312" w:eastAsia="方正仿宋_GB2312" w:cs="方正仿宋_GB2312"/>
          <w:b/>
          <w:bCs/>
          <w:sz w:val="30"/>
          <w:szCs w:val="30"/>
          <w:lang w:val="en-US" w:eastAsia="zh-CN"/>
        </w:rPr>
        <w:t>4.</w:t>
      </w:r>
      <w:r>
        <w:rPr>
          <w:rFonts w:hint="eastAsia" w:ascii="方正仿宋_GB2312" w:hAnsi="方正仿宋_GB2312" w:eastAsia="方正仿宋_GB2312" w:cs="方正仿宋_GB2312"/>
          <w:b/>
          <w:bCs/>
          <w:sz w:val="30"/>
          <w:szCs w:val="30"/>
        </w:rPr>
        <w:t>科研场景验收</w:t>
      </w:r>
      <w:r>
        <w:rPr>
          <w:rFonts w:hint="eastAsia" w:ascii="方正仿宋_GB2312" w:hAnsi="方正仿宋_GB2312" w:eastAsia="方正仿宋_GB2312" w:cs="方正仿宋_GB2312"/>
          <w:sz w:val="30"/>
          <w:szCs w:val="30"/>
        </w:rPr>
        <w:t>：运行骨科影像特征提取、简单深度学习模型训练等典型科研任务，连续72小时满负载测试，服务器无死机、重启、数据损坏等异常情况，任务处理效率满足科研预期。</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45ABFF-C814-478D-B66A-A935109094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E37C37B-BF7D-4A09-979C-1F6668041788}"/>
  </w:font>
  <w:font w:name="等线">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embedRegular r:id="rId3" w:fontKey="{C76859FA-C39A-491E-B1E7-4B70088F4D58}"/>
  </w:font>
  <w:font w:name="方正小标宋简体">
    <w:panose1 w:val="02000000000000000000"/>
    <w:charset w:val="86"/>
    <w:family w:val="script"/>
    <w:pitch w:val="default"/>
    <w:sig w:usb0="00000001" w:usb1="08000000" w:usb2="00000000" w:usb3="00000000" w:csb0="00040000" w:csb1="00000000"/>
    <w:embedRegular r:id="rId4" w:fontKey="{8B562AA1-7565-4AE0-8D22-9DA0ECF31D28}"/>
  </w:font>
  <w:font w:name="方正仿宋_GB2312">
    <w:panose1 w:val="02000000000000000000"/>
    <w:charset w:val="86"/>
    <w:family w:val="auto"/>
    <w:pitch w:val="default"/>
    <w:sig w:usb0="A00002BF" w:usb1="184F6CFA" w:usb2="00000012" w:usb3="00000000" w:csb0="00040001" w:csb1="00000000"/>
    <w:embedRegular r:id="rId5" w:fontKey="{BAE8A7FF-4A3E-47C1-8BC6-75CB3DF8CDD6}"/>
  </w:font>
  <w:font w:name="___WRD_EMBED_SUB_49">
    <w:altName w:val="微软雅黑"/>
    <w:panose1 w:val="00000000000000000000"/>
    <w:charset w:val="86"/>
    <w:family w:val="auto"/>
    <w:pitch w:val="default"/>
    <w:sig w:usb0="00000000" w:usb1="00000000" w:usb2="00000012" w:usb3="00000000" w:csb0="00040001" w:csb1="00000000"/>
    <w:embedRegular r:id="rId6" w:fontKey="{3C33261E-AA48-41F6-9EC3-E334E64F0A9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774FC"/>
    <w:multiLevelType w:val="multilevel"/>
    <w:tmpl w:val="9EB774FC"/>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C319F211"/>
    <w:multiLevelType w:val="multilevel"/>
    <w:tmpl w:val="C319F211"/>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D66C23F4"/>
    <w:multiLevelType w:val="multilevel"/>
    <w:tmpl w:val="D66C23F4"/>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E150C02B"/>
    <w:multiLevelType w:val="multilevel"/>
    <w:tmpl w:val="E150C02B"/>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34BC824E"/>
    <w:multiLevelType w:val="multilevel"/>
    <w:tmpl w:val="34BC824E"/>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5">
    <w:nsid w:val="519A7B02"/>
    <w:multiLevelType w:val="multilevel"/>
    <w:tmpl w:val="519A7B02"/>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6">
    <w:nsid w:val="74211046"/>
    <w:multiLevelType w:val="multilevel"/>
    <w:tmpl w:val="74211046"/>
    <w:lvl w:ilvl="0" w:tentative="0">
      <w:start w:val="1"/>
      <w:numFmt w:val="decimal"/>
      <w:suff w:val="nothing"/>
      <w:lvlText w:val="%1."/>
      <w:lvlJc w:val="left"/>
      <w:pPr>
        <w:ind w:left="288" w:hanging="288"/>
      </w:pPr>
      <w:rPr>
        <w:rFonts w:hint="default"/>
        <w:color w:val="auto"/>
        <w:sz w:val="30"/>
        <w:szCs w:val="30"/>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DB"/>
    <w:rsid w:val="000C6EC1"/>
    <w:rsid w:val="0011258F"/>
    <w:rsid w:val="001A233A"/>
    <w:rsid w:val="002C79DB"/>
    <w:rsid w:val="00473BB0"/>
    <w:rsid w:val="004F2D93"/>
    <w:rsid w:val="007E40F9"/>
    <w:rsid w:val="008E05A4"/>
    <w:rsid w:val="00956ED0"/>
    <w:rsid w:val="00B7090E"/>
    <w:rsid w:val="14DA6F71"/>
    <w:rsid w:val="221D3A2B"/>
    <w:rsid w:val="2D913497"/>
    <w:rsid w:val="2E553449"/>
    <w:rsid w:val="2E5D5132"/>
    <w:rsid w:val="52343FE2"/>
    <w:rsid w:val="73C2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link w:val="17"/>
    <w:semiHidden/>
    <w:unhideWhenUsed/>
    <w:qFormat/>
    <w:uiPriority w:val="99"/>
    <w:rPr>
      <w:rFonts w:asciiTheme="minorHAnsi" w:hAnsiTheme="minorHAnsi" w:eastAsiaTheme="minorEastAsia" w:cstheme="minorBidi"/>
      <w:lang w:val="en-US" w:eastAsia="zh-CN" w:bidi="ar-SA"/>
    </w:rPr>
  </w:style>
  <w:style w:type="paragraph" w:styleId="11">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lang w:val="en-US" w:eastAsia="zh-CN" w:bidi="ar-SA"/>
    </w:rPr>
  </w:style>
  <w:style w:type="character" w:customStyle="1" w:styleId="17">
    <w:name w:val="脚注文本 Char"/>
    <w:link w:val="10"/>
    <w:semiHidden/>
    <w:unhideWhenUsed/>
    <w:qFormat/>
    <w:uiPriority w:val="99"/>
    <w:rPr>
      <w:sz w:val="20"/>
      <w:szCs w:val="20"/>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9">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0">
    <w:name w:val="页眉 Char"/>
    <w:basedOn w:val="13"/>
    <w:link w:val="9"/>
    <w:qFormat/>
    <w:uiPriority w:val="0"/>
    <w:rPr>
      <w:sz w:val="18"/>
      <w:szCs w:val="18"/>
    </w:rPr>
  </w:style>
  <w:style w:type="character" w:customStyle="1" w:styleId="21">
    <w:name w:val="页脚 Char"/>
    <w:basedOn w:val="13"/>
    <w:link w:val="8"/>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2296</Words>
  <Characters>2507</Characters>
  <Lines>18</Lines>
  <Paragraphs>5</Paragraphs>
  <TotalTime>14</TotalTime>
  <ScaleCrop>false</ScaleCrop>
  <LinksUpToDate>false</LinksUpToDate>
  <CharactersWithSpaces>2508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2025-12-13T09:48:00Z</dcterms:created>
  <dc:creator>Un-named</dc:creator>
  <cp:lastModifiedBy>玉林骨科彭金辉</cp:lastModifiedBy>
  <dcterms:modified xsi:type="dcterms:W3CDTF">2026-01-19T07:56:15Z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eyJoZGlkIjoiMWRiZTg2NTI3NGZkNTA4YzAwNWJjM2FkODk3ZTc0MTMiLCJ1c2VySWQiOiI1Njc0MjY5MjAifQ==</vt:lpwstr>
  </property>
  <property fmtid="{D5CDD505-2E9C-101B-9397-08002B2CF9AE}" pid="3" name="KSOProductBuildVer">
    <vt:lpwstr>2052-12.1.0.24034</vt:lpwstr>
  </property>
  <property fmtid="{D5CDD505-2E9C-101B-9397-08002B2CF9AE}" pid="4" name="ICV">
    <vt:lpwstr>55255FC4E6F94BBF84F823D95E7DF2D9_12</vt:lpwstr>
  </property>
</Properties>
</file>