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E4016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压电式冲击波治疗仪</w:t>
      </w:r>
    </w:p>
    <w:p w14:paraId="17BEAE1A">
      <w:pPr>
        <w:numPr>
          <w:ilvl w:val="0"/>
          <w:numId w:val="1"/>
        </w:numPr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8"/>
          <w:szCs w:val="32"/>
        </w:rPr>
        <w:t>技术参数:</w:t>
      </w:r>
      <w:r>
        <w:rPr>
          <w:rFonts w:hint="eastAsia" w:ascii="宋体" w:hAnsi="宋体" w:eastAsia="宋体"/>
        </w:rPr>
        <w:t xml:space="preserve"> </w:t>
      </w:r>
    </w:p>
    <w:p w14:paraId="1E975FBD">
      <w:pPr>
        <w:numPr>
          <w:numId w:val="0"/>
        </w:numPr>
        <w:ind w:leftChars="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8"/>
        </w:rPr>
        <w:t>聚焦冲击波波源要求：压电陶瓷聚焦式。</w:t>
      </w:r>
    </w:p>
    <w:p w14:paraId="1D7FF4B9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4"/>
          <w:szCs w:val="28"/>
        </w:rPr>
        <w:t>输入电压：220V AC。</w:t>
      </w:r>
    </w:p>
    <w:p w14:paraId="50DC2211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3.</w:t>
      </w:r>
      <w:r>
        <w:rPr>
          <w:rFonts w:hint="eastAsia" w:ascii="宋体" w:hAnsi="宋体" w:eastAsia="宋体"/>
          <w:sz w:val="24"/>
          <w:szCs w:val="28"/>
        </w:rPr>
        <w:t>主机重量不大于15 kg，便携设计，便于门诊、义诊等多种临床场景使用。</w:t>
      </w:r>
    </w:p>
    <w:p w14:paraId="2813BD3F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4.</w:t>
      </w:r>
      <w:r>
        <w:rPr>
          <w:rFonts w:hint="eastAsia" w:ascii="宋体" w:hAnsi="宋体" w:eastAsia="宋体"/>
          <w:sz w:val="24"/>
          <w:szCs w:val="28"/>
        </w:rPr>
        <w:t>主机屏幕：≥6寸彩色触摸屏。</w:t>
      </w:r>
    </w:p>
    <w:p w14:paraId="34B1402B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5.</w:t>
      </w:r>
      <w:r>
        <w:rPr>
          <w:rFonts w:hint="eastAsia" w:ascii="宋体" w:hAnsi="宋体" w:eastAsia="宋体"/>
          <w:sz w:val="24"/>
          <w:szCs w:val="28"/>
        </w:rPr>
        <w:t>具有登陆界面选择功能，选择启动主机时显示的第一个界面。</w:t>
      </w:r>
    </w:p>
    <w:p w14:paraId="46C105E9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6.</w:t>
      </w:r>
      <w:r>
        <w:rPr>
          <w:rFonts w:hint="eastAsia" w:ascii="宋体" w:hAnsi="宋体" w:eastAsia="宋体"/>
          <w:sz w:val="24"/>
          <w:szCs w:val="28"/>
        </w:rPr>
        <w:t>冲击波频率：1-8Hz，步进值1Hz。</w:t>
      </w:r>
    </w:p>
    <w:p w14:paraId="2E7C2F48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7.</w:t>
      </w:r>
      <w:r>
        <w:rPr>
          <w:rFonts w:hint="eastAsia" w:ascii="宋体" w:hAnsi="宋体" w:eastAsia="宋体"/>
          <w:sz w:val="24"/>
          <w:szCs w:val="28"/>
        </w:rPr>
        <w:t>最大能流密度≥0.484 mJ/mm²，保证治疗输出量。</w:t>
      </w:r>
    </w:p>
    <w:p w14:paraId="37F68D50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8.</w:t>
      </w:r>
      <w:r>
        <w:rPr>
          <w:rFonts w:hint="eastAsia" w:ascii="宋体" w:hAnsi="宋体" w:eastAsia="宋体"/>
          <w:sz w:val="24"/>
          <w:szCs w:val="28"/>
        </w:rPr>
        <w:t>冲击波脉冲次数：约100～4000次冲击，步进值100。</w:t>
      </w:r>
    </w:p>
    <w:p w14:paraId="4398905C">
      <w:pPr>
        <w:pStyle w:val="31"/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9.</w:t>
      </w:r>
      <w:r>
        <w:rPr>
          <w:rFonts w:hint="eastAsia" w:ascii="宋体" w:hAnsi="宋体" w:eastAsia="宋体"/>
          <w:sz w:val="24"/>
          <w:szCs w:val="28"/>
        </w:rPr>
        <w:t>焦区范围：径向≤5mm，长度≤20mm，聚焦更加精准，能量强，更加有助于临床患者的治疗。</w:t>
      </w:r>
    </w:p>
    <w:p w14:paraId="4F44FC57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10.</w:t>
      </w:r>
      <w:r>
        <w:rPr>
          <w:rFonts w:hint="eastAsia" w:ascii="宋体" w:hAnsi="宋体" w:eastAsia="宋体"/>
          <w:sz w:val="24"/>
          <w:szCs w:val="28"/>
        </w:rPr>
        <w:t>正声压峰值：≤96MPa，才能产生更大的焦阈，达到更好的治疗效果。</w:t>
      </w:r>
    </w:p>
    <w:p w14:paraId="6B277AE6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11.</w:t>
      </w:r>
      <w:r>
        <w:rPr>
          <w:rFonts w:hint="eastAsia" w:ascii="宋体" w:hAnsi="宋体" w:eastAsia="宋体"/>
          <w:sz w:val="24"/>
          <w:szCs w:val="28"/>
        </w:rPr>
        <w:t>压力脉冲宽度小于1μs。</w:t>
      </w:r>
    </w:p>
    <w:p w14:paraId="335DC3EE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12.</w:t>
      </w:r>
      <w:r>
        <w:rPr>
          <w:rFonts w:hint="eastAsia" w:ascii="宋体" w:hAnsi="宋体" w:eastAsia="宋体"/>
          <w:sz w:val="24"/>
          <w:szCs w:val="28"/>
        </w:rPr>
        <w:t>压力脉冲上升时间小于0.5μs。</w:t>
      </w:r>
    </w:p>
    <w:p w14:paraId="59BA491D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13.</w:t>
      </w:r>
      <w:r>
        <w:rPr>
          <w:rFonts w:hint="eastAsia" w:ascii="宋体" w:hAnsi="宋体" w:eastAsia="宋体"/>
          <w:sz w:val="24"/>
          <w:szCs w:val="28"/>
        </w:rPr>
        <w:t>冲击波强度能级多档调节≥29档，显示方式可在能级和能量之间切换，有助于临床更多选择。</w:t>
      </w:r>
    </w:p>
    <w:p w14:paraId="076377B2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14.</w:t>
      </w:r>
      <w:r>
        <w:rPr>
          <w:rFonts w:hint="eastAsia" w:ascii="宋体" w:hAnsi="宋体" w:eastAsia="宋体"/>
          <w:sz w:val="24"/>
          <w:szCs w:val="28"/>
        </w:rPr>
        <w:t>具有待机模式：启用超过30分钟不使用设备，触摸屏将自动进入待机模式；触摸屏幕或按下手柄按钮时，退出待机模式。</w:t>
      </w:r>
    </w:p>
    <w:p w14:paraId="17778736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15.</w:t>
      </w:r>
      <w:r>
        <w:rPr>
          <w:rFonts w:hint="eastAsia" w:ascii="宋体" w:hAnsi="宋体" w:eastAsia="宋体"/>
          <w:sz w:val="24"/>
          <w:szCs w:val="28"/>
        </w:rPr>
        <w:t>包含多种治疗模式：不限于通用模式、镇痛模式、自动增强模式等。</w:t>
      </w:r>
    </w:p>
    <w:p w14:paraId="4AD58135">
      <w:pPr>
        <w:pStyle w:val="31"/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16.</w:t>
      </w:r>
      <w:r>
        <w:rPr>
          <w:rFonts w:hint="eastAsia" w:ascii="宋体" w:hAnsi="宋体" w:eastAsia="宋体"/>
          <w:sz w:val="24"/>
          <w:szCs w:val="28"/>
        </w:rPr>
        <w:t>具有镇痛模式：使用镇痛模式可让患者对于治疗快速适应。很多浅表的部位，疼痛不耐受的患者，如腱鞘炎，足底筋膜炎的患者，这个模式将会给患者带来更好的疼痛耐受和治疗体验。</w:t>
      </w:r>
    </w:p>
    <w:p w14:paraId="0BBD48C2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17.</w:t>
      </w:r>
      <w:r>
        <w:rPr>
          <w:rFonts w:hint="eastAsia" w:ascii="宋体" w:hAnsi="宋体" w:eastAsia="宋体"/>
          <w:sz w:val="24"/>
          <w:szCs w:val="28"/>
        </w:rPr>
        <w:t xml:space="preserve">具有自动增强模式：使用自动增强模式让患者得到最大耐受能量的治疗，设备能量可自动增强，无需手动调节，保证治疗效果。 </w:t>
      </w:r>
    </w:p>
    <w:p w14:paraId="088C2B95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18.</w:t>
      </w:r>
      <w:r>
        <w:rPr>
          <w:rFonts w:hint="eastAsia" w:ascii="宋体" w:hAnsi="宋体" w:eastAsia="宋体"/>
          <w:sz w:val="24"/>
          <w:szCs w:val="28"/>
        </w:rPr>
        <w:t>具有疼痛等级评估功能：可随时激活或关闭疼痛等级评估功能：如果激活，将在治疗前后显示疼痛等级评估。</w:t>
      </w:r>
    </w:p>
    <w:p w14:paraId="3E519DE0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19.</w:t>
      </w:r>
      <w:r>
        <w:rPr>
          <w:rFonts w:hint="eastAsia" w:ascii="宋体" w:hAnsi="宋体" w:eastAsia="宋体"/>
          <w:sz w:val="24"/>
          <w:szCs w:val="28"/>
        </w:rPr>
        <w:t>具有内置治疗方案，可根据人体部位导航图选择、快速方案选择或者手动设置。</w:t>
      </w:r>
    </w:p>
    <w:p w14:paraId="1D39A6BC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20.</w:t>
      </w:r>
      <w:r>
        <w:rPr>
          <w:rFonts w:hint="eastAsia" w:ascii="宋体" w:hAnsi="宋体" w:eastAsia="宋体"/>
          <w:sz w:val="24"/>
          <w:szCs w:val="28"/>
        </w:rPr>
        <w:t>具有治疗教程包括：不限于治疗参数、治疗指导、禁忌证等治疗所需信息。</w:t>
      </w:r>
    </w:p>
    <w:p w14:paraId="423E1192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21.</w:t>
      </w:r>
      <w:r>
        <w:rPr>
          <w:rFonts w:hint="eastAsia" w:ascii="宋体" w:hAnsi="宋体" w:eastAsia="宋体"/>
          <w:sz w:val="24"/>
          <w:szCs w:val="28"/>
        </w:rPr>
        <w:t>可自定义治疗程序并保存。</w:t>
      </w:r>
    </w:p>
    <w:p w14:paraId="64FE21C8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22.</w:t>
      </w:r>
      <w:r>
        <w:rPr>
          <w:rFonts w:hint="eastAsia" w:ascii="宋体" w:hAnsi="宋体" w:eastAsia="宋体"/>
          <w:sz w:val="24"/>
          <w:szCs w:val="28"/>
        </w:rPr>
        <w:t>具有脉冲次数统计功能：可分别显示设备主机及治疗手柄的累计冲击次数。</w:t>
      </w:r>
    </w:p>
    <w:p w14:paraId="79F242B3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23.</w:t>
      </w:r>
      <w:r>
        <w:rPr>
          <w:rFonts w:hint="eastAsia" w:ascii="宋体" w:hAnsi="宋体" w:eastAsia="宋体"/>
          <w:sz w:val="24"/>
          <w:szCs w:val="28"/>
        </w:rPr>
        <w:t>具有治疗总结功能：可显示本次治疗的总能量、总时间、治疗前后的疼痛等级等数据。</w:t>
      </w:r>
    </w:p>
    <w:p w14:paraId="5A086B8B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24.</w:t>
      </w:r>
      <w:r>
        <w:rPr>
          <w:rFonts w:hint="eastAsia" w:ascii="宋体" w:hAnsi="宋体" w:eastAsia="宋体"/>
          <w:sz w:val="24"/>
          <w:szCs w:val="28"/>
        </w:rPr>
        <w:t>手柄重量不大于1.4kg，避免操作者长时间操作不适。</w:t>
      </w:r>
    </w:p>
    <w:p w14:paraId="336B0853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25.</w:t>
      </w:r>
      <w:r>
        <w:rPr>
          <w:rFonts w:hint="eastAsia" w:ascii="宋体" w:hAnsi="宋体" w:eastAsia="宋体"/>
          <w:sz w:val="24"/>
          <w:szCs w:val="28"/>
        </w:rPr>
        <w:t>手柄具有：手柄上有开关按键和能量+/-按键，可实时调节能量强度，方便操作。</w:t>
      </w:r>
    </w:p>
    <w:p w14:paraId="00B1533E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26.</w:t>
      </w:r>
      <w:r>
        <w:rPr>
          <w:rFonts w:hint="eastAsia" w:ascii="宋体" w:hAnsi="宋体" w:eastAsia="宋体"/>
          <w:sz w:val="24"/>
          <w:szCs w:val="28"/>
        </w:rPr>
        <w:t>具有多种规格凝胶垫，满足不同治疗深度的要求。</w:t>
      </w:r>
    </w:p>
    <w:p w14:paraId="3AF3BF7D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27.</w:t>
      </w:r>
      <w:r>
        <w:rPr>
          <w:rFonts w:hint="eastAsia" w:ascii="宋体" w:hAnsi="宋体" w:eastAsia="宋体"/>
          <w:sz w:val="24"/>
          <w:szCs w:val="28"/>
        </w:rPr>
        <w:t>主机使用期限：≥10年，使用寿命越长越好。</w:t>
      </w:r>
    </w:p>
    <w:p w14:paraId="2E53C27E">
      <w:pPr>
        <w:numPr>
          <w:numId w:val="0"/>
        </w:numPr>
        <w:ind w:leftChars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28.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8"/>
        </w:rPr>
        <w:t>配有轻便收纳箱，方便携带外出义诊等治疗。</w:t>
      </w:r>
    </w:p>
    <w:p w14:paraId="070719C9">
      <w:pPr>
        <w:rPr>
          <w:rFonts w:hint="eastAsia"/>
        </w:rPr>
      </w:pPr>
    </w:p>
    <w:p w14:paraId="1315DE14">
      <w:pPr>
        <w:rPr>
          <w:rFonts w:hint="eastAsia"/>
        </w:rPr>
      </w:pPr>
    </w:p>
    <w:p w14:paraId="0B623445">
      <w:pPr>
        <w:rPr>
          <w:rFonts w:hint="eastAsia"/>
        </w:rPr>
      </w:pPr>
    </w:p>
    <w:p w14:paraId="1CEAE01B">
      <w:pPr>
        <w:rPr>
          <w:rFonts w:hint="eastAsia"/>
        </w:rPr>
      </w:pPr>
    </w:p>
    <w:p w14:paraId="2C367851">
      <w:pPr>
        <w:rPr>
          <w:rFonts w:hint="eastAsia"/>
        </w:rPr>
      </w:pPr>
    </w:p>
    <w:p w14:paraId="1C717642">
      <w:pPr>
        <w:rPr>
          <w:rFonts w:hint="eastAsia"/>
        </w:rPr>
      </w:pPr>
    </w:p>
    <w:p w14:paraId="73CD8852">
      <w:pPr>
        <w:rPr>
          <w:rFonts w:hint="eastAsia"/>
        </w:rPr>
      </w:pPr>
    </w:p>
    <w:p w14:paraId="5633ECB1">
      <w:pPr>
        <w:rPr>
          <w:rFonts w:hint="eastAsia"/>
        </w:rPr>
      </w:pPr>
    </w:p>
    <w:p w14:paraId="69FC3319">
      <w:pPr>
        <w:rPr>
          <w:rFonts w:hint="eastAsia"/>
        </w:rPr>
      </w:pPr>
    </w:p>
    <w:p w14:paraId="3BED30C5">
      <w:pPr>
        <w:numPr>
          <w:ilvl w:val="0"/>
          <w:numId w:val="1"/>
        </w:numPr>
        <w:rPr>
          <w:rFonts w:hint="eastAsia"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配置清单 </w:t>
      </w:r>
    </w:p>
    <w:p w14:paraId="7130B5F0">
      <w:pPr>
        <w:rPr>
          <w:rFonts w:hint="eastAsia"/>
        </w:rPr>
      </w:pPr>
      <w:r>
        <w:rPr>
          <w:rFonts w:hint="eastAsia"/>
        </w:rPr>
        <w:t xml:space="preserve"> 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416"/>
        <w:gridCol w:w="3179"/>
      </w:tblGrid>
      <w:tr w14:paraId="01223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66" w:type="pct"/>
            <w:noWrap/>
            <w:vAlign w:val="center"/>
          </w:tcPr>
          <w:p w14:paraId="71E3265B"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84" w:type="pct"/>
            <w:noWrap/>
            <w:vAlign w:val="center"/>
          </w:tcPr>
          <w:p w14:paraId="2ABDE5F3"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148" w:type="pct"/>
            <w:noWrap/>
            <w:vAlign w:val="center"/>
          </w:tcPr>
          <w:p w14:paraId="3781D034">
            <w:pPr>
              <w:widowControl/>
              <w:jc w:val="center"/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14:paraId="07AB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6" w:type="pct"/>
            <w:noWrap/>
            <w:vAlign w:val="center"/>
          </w:tcPr>
          <w:p w14:paraId="17541994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84" w:type="pct"/>
            <w:noWrap/>
            <w:vAlign w:val="center"/>
          </w:tcPr>
          <w:p w14:paraId="16670391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2148" w:type="pct"/>
            <w:noWrap/>
            <w:vAlign w:val="center"/>
          </w:tcPr>
          <w:p w14:paraId="180DDE52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1台</w:t>
            </w:r>
          </w:p>
        </w:tc>
      </w:tr>
      <w:tr w14:paraId="7D4E9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6" w:type="pct"/>
            <w:noWrap/>
            <w:vAlign w:val="center"/>
          </w:tcPr>
          <w:p w14:paraId="196923E8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84" w:type="pct"/>
            <w:noWrap/>
            <w:vAlign w:val="center"/>
          </w:tcPr>
          <w:p w14:paraId="0736D245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治疗手柄</w:t>
            </w:r>
          </w:p>
        </w:tc>
        <w:tc>
          <w:tcPr>
            <w:tcW w:w="2148" w:type="pct"/>
            <w:noWrap/>
            <w:vAlign w:val="center"/>
          </w:tcPr>
          <w:p w14:paraId="5ADA0A08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1把</w:t>
            </w:r>
          </w:p>
        </w:tc>
      </w:tr>
      <w:tr w14:paraId="69847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6" w:type="pct"/>
            <w:noWrap/>
            <w:vAlign w:val="center"/>
          </w:tcPr>
          <w:p w14:paraId="675E4046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84" w:type="pct"/>
            <w:noWrap/>
            <w:vAlign w:val="center"/>
          </w:tcPr>
          <w:p w14:paraId="280F5248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凝胶垫套装(凝胶垫*3个，收纳盒*1个)</w:t>
            </w:r>
          </w:p>
        </w:tc>
        <w:tc>
          <w:tcPr>
            <w:tcW w:w="2148" w:type="pct"/>
            <w:noWrap/>
            <w:vAlign w:val="center"/>
          </w:tcPr>
          <w:p w14:paraId="549A9632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1套</w:t>
            </w:r>
          </w:p>
        </w:tc>
      </w:tr>
      <w:tr w14:paraId="0E66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6" w:type="pct"/>
            <w:noWrap/>
            <w:vAlign w:val="center"/>
          </w:tcPr>
          <w:p w14:paraId="7D5A78A3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84" w:type="pct"/>
            <w:noWrap/>
            <w:vAlign w:val="center"/>
          </w:tcPr>
          <w:p w14:paraId="3C14506C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手柄支架套装</w:t>
            </w:r>
          </w:p>
        </w:tc>
        <w:tc>
          <w:tcPr>
            <w:tcW w:w="2148" w:type="pct"/>
            <w:noWrap/>
            <w:vAlign w:val="center"/>
          </w:tcPr>
          <w:p w14:paraId="6CEC8129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1个</w:t>
            </w:r>
          </w:p>
        </w:tc>
      </w:tr>
      <w:tr w14:paraId="2A5C2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6" w:type="pct"/>
            <w:noWrap/>
            <w:vAlign w:val="center"/>
          </w:tcPr>
          <w:p w14:paraId="5B9FBDC0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84" w:type="pct"/>
            <w:noWrap/>
            <w:vAlign w:val="center"/>
          </w:tcPr>
          <w:p w14:paraId="1175FAFD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电源线</w:t>
            </w:r>
          </w:p>
        </w:tc>
        <w:tc>
          <w:tcPr>
            <w:tcW w:w="2148" w:type="pct"/>
            <w:noWrap/>
            <w:vAlign w:val="center"/>
          </w:tcPr>
          <w:p w14:paraId="798F5F31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1根</w:t>
            </w:r>
          </w:p>
        </w:tc>
      </w:tr>
      <w:tr w14:paraId="54CD9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6" w:type="pct"/>
            <w:noWrap/>
            <w:vAlign w:val="center"/>
          </w:tcPr>
          <w:p w14:paraId="35911620"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84" w:type="pct"/>
            <w:noWrap/>
            <w:vAlign w:val="center"/>
          </w:tcPr>
          <w:p w14:paraId="6EBF32E3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专用收纳箱</w:t>
            </w:r>
          </w:p>
        </w:tc>
        <w:tc>
          <w:tcPr>
            <w:tcW w:w="2148" w:type="pct"/>
            <w:noWrap/>
            <w:vAlign w:val="center"/>
          </w:tcPr>
          <w:p w14:paraId="02B38EA4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1个</w:t>
            </w:r>
          </w:p>
        </w:tc>
      </w:tr>
    </w:tbl>
    <w:p w14:paraId="1D899C37">
      <w:pPr>
        <w:rPr>
          <w:rFonts w:hint="eastAsia"/>
        </w:rPr>
      </w:pP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96A6B"/>
    <w:multiLevelType w:val="singleLevel"/>
    <w:tmpl w:val="42296A6B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  <w:sz w:val="28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CC"/>
    <w:rsid w:val="00030726"/>
    <w:rsid w:val="0003471B"/>
    <w:rsid w:val="00083418"/>
    <w:rsid w:val="000F5DF9"/>
    <w:rsid w:val="0010698D"/>
    <w:rsid w:val="00197837"/>
    <w:rsid w:val="001E42D1"/>
    <w:rsid w:val="002200EA"/>
    <w:rsid w:val="00276B38"/>
    <w:rsid w:val="002823CC"/>
    <w:rsid w:val="002A2DAA"/>
    <w:rsid w:val="003054FD"/>
    <w:rsid w:val="00314D57"/>
    <w:rsid w:val="003C2D37"/>
    <w:rsid w:val="003E65A1"/>
    <w:rsid w:val="00477E26"/>
    <w:rsid w:val="004957DB"/>
    <w:rsid w:val="00523970"/>
    <w:rsid w:val="0057123B"/>
    <w:rsid w:val="00673700"/>
    <w:rsid w:val="006B6D75"/>
    <w:rsid w:val="006D59A4"/>
    <w:rsid w:val="00731250"/>
    <w:rsid w:val="007A5A39"/>
    <w:rsid w:val="007F18D7"/>
    <w:rsid w:val="008721FB"/>
    <w:rsid w:val="009671C4"/>
    <w:rsid w:val="00994F27"/>
    <w:rsid w:val="009E68F0"/>
    <w:rsid w:val="00A1277E"/>
    <w:rsid w:val="00A46F39"/>
    <w:rsid w:val="00A82217"/>
    <w:rsid w:val="00B2314E"/>
    <w:rsid w:val="00B538CA"/>
    <w:rsid w:val="00BD5889"/>
    <w:rsid w:val="00C14843"/>
    <w:rsid w:val="00C267A3"/>
    <w:rsid w:val="00CE64AE"/>
    <w:rsid w:val="00D01905"/>
    <w:rsid w:val="00D8060C"/>
    <w:rsid w:val="00E14F0D"/>
    <w:rsid w:val="00E46BA3"/>
    <w:rsid w:val="00F206F8"/>
    <w:rsid w:val="254319F6"/>
    <w:rsid w:val="27D25752"/>
    <w:rsid w:val="3B6A6ECA"/>
    <w:rsid w:val="474135B5"/>
    <w:rsid w:val="503356C1"/>
    <w:rsid w:val="6CE108C6"/>
    <w:rsid w:val="724C57BD"/>
    <w:rsid w:val="73B727C3"/>
    <w:rsid w:val="7499314F"/>
    <w:rsid w:val="7B98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="等线 Light" w:hAnsi="等线 Light" w:eastAsia="等线 Light"/>
      <w:color w:val="104862"/>
      <w:sz w:val="48"/>
      <w:szCs w:val="48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160" w:after="80"/>
      <w:outlineLvl w:val="1"/>
    </w:pPr>
    <w:rPr>
      <w:rFonts w:ascii="等线 Light" w:hAnsi="等线 Light" w:eastAsia="等线 Light"/>
      <w:color w:val="104862"/>
      <w:sz w:val="40"/>
      <w:szCs w:val="40"/>
    </w:rPr>
  </w:style>
  <w:style w:type="paragraph" w:styleId="4">
    <w:name w:val="heading 3"/>
    <w:basedOn w:val="1"/>
    <w:next w:val="1"/>
    <w:link w:val="20"/>
    <w:qFormat/>
    <w:uiPriority w:val="9"/>
    <w:pPr>
      <w:keepNext/>
      <w:keepLines/>
      <w:spacing w:before="160" w:after="80"/>
      <w:outlineLvl w:val="2"/>
    </w:pPr>
    <w:rPr>
      <w:rFonts w:ascii="等线 Light" w:hAnsi="等线 Light" w:eastAsia="等线 Light"/>
      <w:color w:val="104862"/>
      <w:sz w:val="32"/>
      <w:szCs w:val="32"/>
    </w:rPr>
  </w:style>
  <w:style w:type="paragraph" w:styleId="5">
    <w:name w:val="heading 4"/>
    <w:basedOn w:val="1"/>
    <w:next w:val="1"/>
    <w:link w:val="21"/>
    <w:qFormat/>
    <w:uiPriority w:val="9"/>
    <w:pPr>
      <w:keepNext/>
      <w:keepLines/>
      <w:spacing w:before="80" w:after="40"/>
      <w:outlineLvl w:val="3"/>
    </w:pPr>
    <w:rPr>
      <w:color w:val="104862"/>
      <w:sz w:val="28"/>
      <w:szCs w:val="28"/>
    </w:rPr>
  </w:style>
  <w:style w:type="paragraph" w:styleId="6">
    <w:name w:val="heading 5"/>
    <w:basedOn w:val="1"/>
    <w:next w:val="1"/>
    <w:link w:val="22"/>
    <w:qFormat/>
    <w:uiPriority w:val="9"/>
    <w:pPr>
      <w:keepNext/>
      <w:keepLines/>
      <w:spacing w:before="80" w:after="40"/>
      <w:outlineLvl w:val="4"/>
    </w:pPr>
    <w:rPr>
      <w:color w:val="104862"/>
      <w:sz w:val="24"/>
      <w:szCs w:val="24"/>
    </w:rPr>
  </w:style>
  <w:style w:type="paragraph" w:styleId="7">
    <w:name w:val="heading 6"/>
    <w:basedOn w:val="1"/>
    <w:next w:val="1"/>
    <w:link w:val="23"/>
    <w:qFormat/>
    <w:uiPriority w:val="9"/>
    <w:pPr>
      <w:keepNext/>
      <w:keepLines/>
      <w:spacing w:before="40"/>
      <w:outlineLvl w:val="5"/>
    </w:pPr>
    <w:rPr>
      <w:b/>
      <w:bCs/>
      <w:color w:val="104862"/>
    </w:rPr>
  </w:style>
  <w:style w:type="paragraph" w:styleId="8">
    <w:name w:val="heading 7"/>
    <w:basedOn w:val="1"/>
    <w:next w:val="1"/>
    <w:link w:val="24"/>
    <w:qFormat/>
    <w:uiPriority w:val="9"/>
    <w:pPr>
      <w:keepNext/>
      <w:keepLines/>
      <w:spacing w:before="40"/>
      <w:outlineLvl w:val="6"/>
    </w:pPr>
    <w:rPr>
      <w:b/>
      <w:bCs/>
      <w:color w:val="595959"/>
    </w:rPr>
  </w:style>
  <w:style w:type="paragraph" w:styleId="9">
    <w:name w:val="heading 8"/>
    <w:basedOn w:val="1"/>
    <w:next w:val="1"/>
    <w:link w:val="25"/>
    <w:qFormat/>
    <w:uiPriority w:val="9"/>
    <w:pPr>
      <w:keepNext/>
      <w:keepLines/>
      <w:outlineLvl w:val="7"/>
    </w:pPr>
    <w:rPr>
      <w:color w:val="595959"/>
    </w:rPr>
  </w:style>
  <w:style w:type="paragraph" w:styleId="10">
    <w:name w:val="heading 9"/>
    <w:basedOn w:val="1"/>
    <w:next w:val="1"/>
    <w:link w:val="26"/>
    <w:qFormat/>
    <w:uiPriority w:val="9"/>
    <w:pPr>
      <w:keepNext/>
      <w:keepLines/>
      <w:outlineLvl w:val="8"/>
    </w:pPr>
    <w:rPr>
      <w:rFonts w:eastAsia="等线 Light"/>
      <w:color w:val="595959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6"/>
    <w:qFormat/>
    <w:uiPriority w:val="99"/>
    <w:pPr>
      <w:jc w:val="left"/>
    </w:pPr>
  </w:style>
  <w:style w:type="paragraph" w:styleId="12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="等线 Light" w:hAnsi="等线 Light" w:eastAsia="等线 Light"/>
      <w:color w:val="595959"/>
      <w:spacing w:val="15"/>
      <w:sz w:val="28"/>
      <w:szCs w:val="28"/>
    </w:rPr>
  </w:style>
  <w:style w:type="paragraph" w:styleId="13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="等线 Light" w:hAnsi="等线 Light" w:eastAsia="等线 Light"/>
      <w:spacing w:val="-10"/>
      <w:kern w:val="28"/>
      <w:sz w:val="56"/>
      <w:szCs w:val="56"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99"/>
    <w:rPr>
      <w:sz w:val="16"/>
      <w:szCs w:val="16"/>
    </w:rPr>
  </w:style>
  <w:style w:type="character" w:customStyle="1" w:styleId="18">
    <w:name w:val="标题 1 字符"/>
    <w:basedOn w:val="16"/>
    <w:link w:val="2"/>
    <w:qFormat/>
    <w:uiPriority w:val="9"/>
    <w:rPr>
      <w:rFonts w:ascii="等线 Light" w:hAnsi="等线 Light" w:eastAsia="等线 Light" w:cs="宋体"/>
      <w:color w:val="104862"/>
      <w:sz w:val="48"/>
      <w:szCs w:val="48"/>
    </w:rPr>
  </w:style>
  <w:style w:type="character" w:customStyle="1" w:styleId="19">
    <w:name w:val="标题 2 字符"/>
    <w:basedOn w:val="16"/>
    <w:link w:val="3"/>
    <w:qFormat/>
    <w:uiPriority w:val="9"/>
    <w:rPr>
      <w:rFonts w:ascii="等线 Light" w:hAnsi="等线 Light" w:eastAsia="等线 Light" w:cs="宋体"/>
      <w:color w:val="104862"/>
      <w:sz w:val="40"/>
      <w:szCs w:val="40"/>
    </w:rPr>
  </w:style>
  <w:style w:type="character" w:customStyle="1" w:styleId="20">
    <w:name w:val="标题 3 字符"/>
    <w:basedOn w:val="16"/>
    <w:link w:val="4"/>
    <w:qFormat/>
    <w:uiPriority w:val="9"/>
    <w:rPr>
      <w:rFonts w:ascii="等线 Light" w:hAnsi="等线 Light" w:eastAsia="等线 Light" w:cs="宋体"/>
      <w:color w:val="104862"/>
      <w:sz w:val="32"/>
      <w:szCs w:val="32"/>
    </w:rPr>
  </w:style>
  <w:style w:type="character" w:customStyle="1" w:styleId="21">
    <w:name w:val="标题 4 字符"/>
    <w:basedOn w:val="16"/>
    <w:link w:val="5"/>
    <w:qFormat/>
    <w:uiPriority w:val="9"/>
    <w:rPr>
      <w:rFonts w:cs="宋体"/>
      <w:color w:val="104862"/>
      <w:sz w:val="28"/>
      <w:szCs w:val="28"/>
    </w:rPr>
  </w:style>
  <w:style w:type="character" w:customStyle="1" w:styleId="22">
    <w:name w:val="标题 5 字符"/>
    <w:basedOn w:val="16"/>
    <w:link w:val="6"/>
    <w:qFormat/>
    <w:uiPriority w:val="9"/>
    <w:rPr>
      <w:rFonts w:cs="宋体"/>
      <w:color w:val="104862"/>
      <w:sz w:val="24"/>
      <w:szCs w:val="24"/>
    </w:rPr>
  </w:style>
  <w:style w:type="character" w:customStyle="1" w:styleId="23">
    <w:name w:val="标题 6 字符"/>
    <w:basedOn w:val="16"/>
    <w:link w:val="7"/>
    <w:qFormat/>
    <w:uiPriority w:val="9"/>
    <w:rPr>
      <w:rFonts w:cs="宋体"/>
      <w:b/>
      <w:bCs/>
      <w:color w:val="104862"/>
    </w:rPr>
  </w:style>
  <w:style w:type="character" w:customStyle="1" w:styleId="24">
    <w:name w:val="标题 7 字符"/>
    <w:basedOn w:val="16"/>
    <w:link w:val="8"/>
    <w:qFormat/>
    <w:uiPriority w:val="9"/>
    <w:rPr>
      <w:rFonts w:cs="宋体"/>
      <w:b/>
      <w:bCs/>
      <w:color w:val="595959"/>
    </w:rPr>
  </w:style>
  <w:style w:type="character" w:customStyle="1" w:styleId="25">
    <w:name w:val="标题 8 字符"/>
    <w:basedOn w:val="16"/>
    <w:link w:val="9"/>
    <w:qFormat/>
    <w:uiPriority w:val="9"/>
    <w:rPr>
      <w:rFonts w:cs="宋体"/>
      <w:color w:val="595959"/>
    </w:rPr>
  </w:style>
  <w:style w:type="character" w:customStyle="1" w:styleId="26">
    <w:name w:val="标题 9 字符"/>
    <w:basedOn w:val="16"/>
    <w:link w:val="10"/>
    <w:qFormat/>
    <w:uiPriority w:val="9"/>
    <w:rPr>
      <w:rFonts w:eastAsia="等线 Light" w:cs="宋体"/>
      <w:color w:val="595959"/>
    </w:rPr>
  </w:style>
  <w:style w:type="character" w:customStyle="1" w:styleId="27">
    <w:name w:val="标题 字符"/>
    <w:basedOn w:val="16"/>
    <w:link w:val="13"/>
    <w:qFormat/>
    <w:uiPriority w:val="10"/>
    <w:rPr>
      <w:rFonts w:ascii="等线 Light" w:hAnsi="等线 Light" w:eastAsia="等线 Light" w:cs="宋体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2"/>
    <w:qFormat/>
    <w:uiPriority w:val="11"/>
    <w:rPr>
      <w:rFonts w:ascii="等线 Light" w:hAnsi="等线 Light" w:eastAsia="等线 Light" w:cs="宋体"/>
      <w:color w:val="595959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/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3F3F3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_9b9016f5-e4ba-4a0c-8c46-8fc567c00f65"/>
    <w:basedOn w:val="16"/>
    <w:qFormat/>
    <w:uiPriority w:val="21"/>
    <w:rPr>
      <w:i/>
      <w:iCs/>
      <w:color w:val="104862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i/>
      <w:iCs/>
      <w:color w:val="104862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/>
    </w:rPr>
  </w:style>
  <w:style w:type="character" w:customStyle="1" w:styleId="35">
    <w:name w:val="Intense Reference_0022c0aa-90d1-48f7-a424-7eb607e1c32e"/>
    <w:basedOn w:val="16"/>
    <w:qFormat/>
    <w:uiPriority w:val="32"/>
    <w:rPr>
      <w:b/>
      <w:bCs/>
      <w:smallCaps/>
      <w:color w:val="104862"/>
      <w:spacing w:val="5"/>
    </w:rPr>
  </w:style>
  <w:style w:type="character" w:customStyle="1" w:styleId="36">
    <w:name w:val="批注文字 字符"/>
    <w:basedOn w:val="16"/>
    <w:link w:val="1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882</Words>
  <Characters>936</Characters>
  <Lines>7</Lines>
  <Paragraphs>2</Paragraphs>
  <TotalTime>2</TotalTime>
  <ScaleCrop>false</ScaleCrop>
  <LinksUpToDate>false</LinksUpToDate>
  <CharactersWithSpaces>943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2025-07-29T22:43:00Z</dcterms:created>
  <dc:creator>Xie, Sam (SH)</dc:creator>
  <cp:lastModifiedBy>逍逍</cp:lastModifiedBy>
  <dcterms:modified xsi:type="dcterms:W3CDTF">2026-09-09T06:38:19Z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0E1EB1704A8549C7949F184720E54C0F_13</vt:lpwstr>
  </property>
  <property fmtid="{D5CDD505-2E9C-101B-9397-08002B2CF9AE}" pid="4" name="KSOTemplateDocerSaveRecord">
    <vt:lpwstr>eyJoZGlkIjoiMzA2MWE3ZmRmZjg0OWU4ZTQyOGQwODExMjBkOWZiZDgiLCJ1c2VySWQiOiIxMjc1NjY1NDQwIn0=</vt:lpwstr>
  </property>
</Properties>
</file>