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5F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肌电图诱发电位仪技术参数</w:t>
      </w:r>
    </w:p>
    <w:p w14:paraId="1CFEE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一、</w:t>
      </w:r>
      <w:r>
        <w:rPr>
          <w:rFonts w:hint="eastAsia" w:ascii="宋体" w:hAnsi="宋体"/>
          <w:b/>
          <w:bCs/>
          <w:sz w:val="24"/>
        </w:rPr>
        <w:t>功能要求：</w:t>
      </w:r>
      <w:r>
        <w:rPr>
          <w:rFonts w:hint="eastAsia" w:ascii="宋体" w:hAnsi="宋体"/>
          <w:bCs/>
          <w:sz w:val="24"/>
        </w:rPr>
        <w:t>通过检测诱发电位(VEP,AEP,SEP,MEP)、肌电图、神经电图等测试项目，为医生提供大脑活动、中枢神经、周围神经、肌肉及麻醉用药的客观评价指标，实时反馈大脑神经的活动，指导医生（如神经内科</w:t>
      </w:r>
      <w:r>
        <w:rPr>
          <w:rFonts w:ascii="宋体" w:hAnsi="宋体"/>
          <w:bCs/>
          <w:sz w:val="24"/>
        </w:rPr>
        <w:t>、</w:t>
      </w:r>
      <w:r>
        <w:rPr>
          <w:rFonts w:hint="eastAsia" w:ascii="宋体" w:hAnsi="宋体"/>
          <w:bCs/>
          <w:sz w:val="24"/>
        </w:rPr>
        <w:t>神经外科</w:t>
      </w:r>
      <w:r>
        <w:rPr>
          <w:rFonts w:ascii="宋体" w:hAnsi="宋体"/>
          <w:bCs/>
          <w:sz w:val="24"/>
        </w:rPr>
        <w:t>、骨科、</w:t>
      </w:r>
      <w:r>
        <w:rPr>
          <w:rFonts w:hint="eastAsia" w:ascii="宋体" w:hAnsi="宋体"/>
          <w:bCs/>
          <w:sz w:val="24"/>
          <w:lang w:val="en-US" w:eastAsia="zh-CN"/>
        </w:rPr>
        <w:t>康复</w:t>
      </w:r>
      <w:r>
        <w:rPr>
          <w:rFonts w:hint="eastAsia" w:ascii="宋体" w:hAnsi="宋体"/>
          <w:bCs/>
          <w:sz w:val="24"/>
        </w:rPr>
        <w:t>科</w:t>
      </w:r>
      <w:r>
        <w:rPr>
          <w:rFonts w:ascii="宋体" w:hAnsi="宋体"/>
          <w:bCs/>
          <w:sz w:val="24"/>
        </w:rPr>
        <w:t>等科室）</w:t>
      </w:r>
      <w:r>
        <w:rPr>
          <w:rFonts w:hint="eastAsia" w:ascii="宋体" w:hAnsi="宋体"/>
          <w:bCs/>
          <w:sz w:val="24"/>
        </w:rPr>
        <w:t>开展门诊肌电图检查以及</w:t>
      </w:r>
      <w:r>
        <w:rPr>
          <w:rFonts w:hint="eastAsia" w:ascii="宋体" w:hAnsi="宋体"/>
          <w:bCs/>
          <w:sz w:val="24"/>
          <w:lang w:val="en-US" w:eastAsia="zh-CN"/>
        </w:rPr>
        <w:t>预估重症患者康复效果</w:t>
      </w:r>
      <w:r>
        <w:rPr>
          <w:rFonts w:hint="eastAsia" w:ascii="宋体" w:hAnsi="宋体"/>
          <w:bCs/>
          <w:sz w:val="24"/>
        </w:rPr>
        <w:t>。</w:t>
      </w:r>
    </w:p>
    <w:p w14:paraId="789D2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hanging="482" w:hangingChars="200"/>
        <w:textAlignment w:val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二、技术参数：</w:t>
      </w:r>
    </w:p>
    <w:p w14:paraId="11653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hanging="482" w:hanging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（一）放大器</w:t>
      </w:r>
    </w:p>
    <w:p w14:paraId="1E922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hanging="1260" w:hangingChars="600"/>
        <w:textAlignment w:val="auto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/>
        </w:rPr>
        <w:t>★</w:t>
      </w:r>
      <w:r>
        <w:rPr>
          <w:rFonts w:hint="eastAsia" w:ascii="宋体" w:hAnsi="宋体"/>
          <w:bCs/>
          <w:sz w:val="24"/>
        </w:rPr>
        <w:t>1、通道数：</w:t>
      </w:r>
      <w:r>
        <w:rPr>
          <w:rFonts w:hint="eastAsia" w:ascii="宋体" w:hAnsi="宋体"/>
          <w:bCs/>
          <w:sz w:val="24"/>
          <w:lang w:val="en-US" w:eastAsia="zh-CN"/>
        </w:rPr>
        <w:t>≥</w:t>
      </w:r>
      <w:r>
        <w:rPr>
          <w:rFonts w:hint="eastAsia" w:ascii="宋体" w:hAnsi="宋体"/>
          <w:bCs/>
          <w:sz w:val="24"/>
        </w:rPr>
        <w:t>6通道</w:t>
      </w:r>
      <w:r>
        <w:rPr>
          <w:rFonts w:hint="eastAsia" w:ascii="宋体" w:hAnsi="宋体"/>
          <w:bCs/>
          <w:sz w:val="24"/>
          <w:lang w:eastAsia="zh-CN"/>
        </w:rPr>
        <w:t>，</w:t>
      </w:r>
      <w:r>
        <w:rPr>
          <w:rFonts w:hint="eastAsia" w:ascii="宋体" w:hAnsi="宋体"/>
          <w:bCs/>
          <w:sz w:val="24"/>
          <w:lang w:val="en-US" w:eastAsia="zh-CN"/>
        </w:rPr>
        <w:t>一体化设计，非拼接组合型。</w:t>
      </w:r>
    </w:p>
    <w:p w14:paraId="14EF6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rPr>
          <w:rFonts w:hint="eastAsia" w:ascii="宋体" w:hAnsi="宋体" w:eastAsia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</w:rPr>
        <w:t>2、陷波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：50 Hz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1E0D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20" w:hangingChars="200"/>
        <w:textAlignment w:val="auto"/>
        <w:rPr>
          <w:rFonts w:hint="eastAsia" w:ascii="宋体" w:hAnsi="宋体" w:eastAsia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3、共模抑制比：≥12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dB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提供食品药品监督局出具的检验报告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】</w:t>
      </w:r>
    </w:p>
    <w:p w14:paraId="50C24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4、电压灵敏度：0.05mV/div到30mV/div分档控制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（非显示灵敏度）</w:t>
      </w:r>
    </w:p>
    <w:p w14:paraId="1016D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80" w:hangingChars="200"/>
        <w:textAlignment w:val="auto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5、频率范围：0.5Hz～10kHz，电压测量误差+5%～-15%</w:t>
      </w:r>
    </w:p>
    <w:p w14:paraId="3BD08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80" w:hangingChars="200"/>
        <w:textAlignment w:val="auto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6、阻抗测量：所有输入的电极及地电极都可检测</w:t>
      </w:r>
    </w:p>
    <w:p w14:paraId="33CCF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20" w:hangingChars="200"/>
        <w:textAlignment w:val="auto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7、噪声电压：≤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0.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sym w:font="Symbol" w:char="F06D"/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（提供食品药品监督局出具的检验报告）</w:t>
      </w:r>
    </w:p>
    <w:p w14:paraId="0F740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20" w:hangingChars="200"/>
        <w:textAlignment w:val="auto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共模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输入阻抗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≥450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0MΩ（提供食品药品监督局出具的检验报告）</w:t>
      </w:r>
    </w:p>
    <w:p w14:paraId="40316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80" w:hangingChars="200"/>
        <w:textAlignment w:val="auto"/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分辨率：24比特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23D31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hanging="482" w:hangingChars="200"/>
        <w:textAlignment w:val="auto"/>
        <w:rPr>
          <w:rFonts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（二）电刺激器</w:t>
      </w:r>
    </w:p>
    <w:p w14:paraId="1F6F8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1、高恒流电刺激最大脉冲强度：100mA±5%；低恒流电刺激最大脉冲强度：5mA±5%；</w:t>
      </w:r>
    </w:p>
    <w:p w14:paraId="1AB57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2、脉冲强度误差：±5%；</w:t>
      </w:r>
    </w:p>
    <w:p w14:paraId="40326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3、最大脉冲宽度：1ms±5%；</w:t>
      </w:r>
    </w:p>
    <w:p w14:paraId="4F37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4、脉冲宽度误差：±5%；</w:t>
      </w:r>
    </w:p>
    <w:p w14:paraId="2C926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hanging="482" w:hangingChars="200"/>
        <w:textAlignment w:val="auto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（三）声音刺激器</w:t>
      </w:r>
    </w:p>
    <w:p w14:paraId="610C5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40" w:hanging="1440" w:hangingChars="600"/>
        <w:textAlignment w:val="auto"/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1、 最大Click声强：125～140dB（SPL 峰值）；</w:t>
      </w:r>
    </w:p>
    <w:p w14:paraId="6EABC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40" w:hanging="1440" w:hangingChars="600"/>
        <w:textAlignment w:val="auto"/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 、最大白噪声强：105～115dB（SPL峰值）；</w:t>
      </w:r>
    </w:p>
    <w:p w14:paraId="25CA2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40" w:hanging="1440" w:hangingChars="600"/>
        <w:textAlignment w:val="auto"/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 、声强在25dB至125dB范围内以不大于10dB的加减量分档选择.</w:t>
      </w:r>
    </w:p>
    <w:p w14:paraId="69AB6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hanging="482" w:hangingChars="200"/>
        <w:textAlignment w:val="auto"/>
        <w:rPr>
          <w:rFonts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（四）视觉刺激器</w:t>
      </w:r>
    </w:p>
    <w:p w14:paraId="74789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40" w:hanging="1440" w:hangingChars="600"/>
        <w:textAlignment w:val="auto"/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1、分别给与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右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左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和双眼刺激的LED闪光器；</w:t>
      </w:r>
    </w:p>
    <w:p w14:paraId="2B5F3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40" w:hanging="1440" w:hangingChars="600"/>
        <w:textAlignment w:val="auto"/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、LED闪光器照度：20Lux～55Lux（10cm距离，直射）。</w:t>
      </w:r>
    </w:p>
    <w:p w14:paraId="2F632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hanging="482" w:hangingChars="200"/>
        <w:textAlignment w:val="auto"/>
        <w:rPr>
          <w:rFonts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（五）软件功能要求</w:t>
      </w:r>
    </w:p>
    <w:p w14:paraId="435B69F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神经电图：运动传导、感觉传导、H-反射、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F-波，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重复电刺激、运单数目、瞬目反射、皮肤反应、心脏副交感、面运动传导、自定义。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（要求提供软件截图证明）</w:t>
      </w:r>
    </w:p>
    <w:p w14:paraId="04CE7A8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肌电图：静息单位电位、运动单位电位、干扰相、同步电位、单纤维、运单指数（MUNIX）</w:t>
      </w:r>
    </w:p>
    <w:p w14:paraId="58C672F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诱发电位：</w:t>
      </w:r>
    </w:p>
    <w:p w14:paraId="4947ADD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1体感诱发电位：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肢诱发电位、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肢诱发电位、三叉诱发电位、阴部体感诱发、长潜体感诱发、坐骨海绵体反射、球海绵体反射、三叉神经颈反射、自定义体感。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（要求提供软件截图证明）</w:t>
      </w:r>
    </w:p>
    <w:p w14:paraId="2F3F7FC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听觉诱发电位：脑干听阈、脑干听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觉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、40HZ稳态听觉、长潜听觉、中潜听觉、耳蜗电图、自定义。</w:t>
      </w:r>
    </w:p>
    <w:p w14:paraId="33BDCF7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视觉诱发电位：LED闪光、模式反转、长潜、自定义。</w:t>
      </w:r>
    </w:p>
    <w:p w14:paraId="1AAF7EC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前庭诱发电位：ACS-cVEMP、BCV-cVEMP、GVS-cVEMP、ACS-oVEMP、BCV-oVEMP、GVS-oVEMP、ACS-mVEMP、BCV-mVEMP、GVS-mVEMP。（要求提供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软件截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图证明）</w:t>
      </w:r>
    </w:p>
    <w:p w14:paraId="0D1142B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运动诱发电位（电刺激、可连接磁刺激）：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肢运动、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肢运动。</w:t>
      </w:r>
    </w:p>
    <w:p w14:paraId="2E74337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★4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震颤分析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配置全套软硬件，包含震颤加速器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要求提供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软件截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图证明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及包含震颤加速器图片】</w:t>
      </w:r>
    </w:p>
    <w:p w14:paraId="7457D7E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事件相关电位：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听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觉 P300、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视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觉 P300、三重P300、听觉P50 、伴随负电位、失匹配负波</w:t>
      </w:r>
    </w:p>
    <w:p w14:paraId="7FAD35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Cs/>
          <w:color w:val="000000" w:themeColor="text1"/>
          <w:sz w:val="24"/>
          <w:highlight w:val="none"/>
          <w:lang w:val="en-US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表面肌电：静息放松、肌张力评估、功能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态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A、功能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态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B、自定义</w:t>
      </w:r>
    </w:p>
    <w:p w14:paraId="708D5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三、配置要求及服务</w:t>
      </w:r>
    </w:p>
    <w:p w14:paraId="027F2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1、系统工作站：具有处理软件功能；中央处理器：工控主机，主频≥1.7GHz处理器内存：≥2G、硬盘：≥320G、标准接口、显示器：≥21”液晶，打印机：黑</w:t>
      </w:r>
      <w:r>
        <w:rPr>
          <w:rFonts w:hint="eastAsia"/>
          <w:sz w:val="24"/>
        </w:rPr>
        <w:t>白激光；</w:t>
      </w:r>
    </w:p>
    <w:p w14:paraId="6E810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2、配稳压隔离电源。</w:t>
      </w:r>
    </w:p>
    <w:p w14:paraId="5A1F7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3、免费质保期：≥1年，终生维修；保修期外收取零配件费，不收维修费；</w:t>
      </w:r>
    </w:p>
    <w:p w14:paraId="6887B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4、接到用户维修通知后， 4小时内作出相应，并在24小时内派员到达用户现</w:t>
      </w:r>
      <w:bookmarkStart w:id="0" w:name="_GoBack"/>
      <w:r>
        <w:rPr>
          <w:rFonts w:hint="eastAsia"/>
          <w:sz w:val="24"/>
        </w:rPr>
        <w:t>场实施维修；</w:t>
      </w:r>
    </w:p>
    <w:bookmarkEnd w:id="0"/>
    <w:p w14:paraId="34F75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四、整体要求</w:t>
      </w:r>
    </w:p>
    <w:p w14:paraId="09A10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1、产品具备低噪声、高抗干扰能力的一体化台式系统和专用工控机，设置听觉、视觉和电刺激模块和接口；能够完成神经电图、肌电图、诱发电位等检测项目；</w:t>
      </w:r>
    </w:p>
    <w:p w14:paraId="50519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sz w:val="24"/>
        </w:rPr>
        <w:t>2、厂家应确保消耗品及维修备件八年内长期供应；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9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1015</Words>
  <Characters>1238</Characters>
  <Lines>12</Lines>
  <Paragraphs>3</Paragraphs>
  <TotalTime>0</TotalTime>
  <ScaleCrop>false</ScaleCrop>
  <LinksUpToDate>false</LinksUpToDate>
  <CharactersWithSpaces>1246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2021-04-04T04:13:00Z</dcterms:created>
  <dc:creator>於1400725642</dc:creator>
  <cp:lastModifiedBy>微信用户</cp:lastModifiedBy>
  <dcterms:modified xsi:type="dcterms:W3CDTF">2026-01-20T00:42:11Z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26B6BFDC98834907BC31F0B1AE5B8ECE_13</vt:lpwstr>
  </property>
  <property fmtid="{D5CDD505-2E9C-101B-9397-08002B2CF9AE}" pid="4" name="KSOTemplateDocerSaveRecord">
    <vt:lpwstr>eyJoZGlkIjoiMzEwNTM5NzYwMDRjMzkwZTVkZjY2ODkwMGIxNGU0OTUiLCJ1c2VySWQiOiI0MDcyMzE1OTYifQ==</vt:lpwstr>
  </property>
</Properties>
</file>