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E8133">
      <w:pPr>
        <w:jc w:val="center"/>
        <w:outlineLvl w:val="1"/>
        <w:rPr>
          <w:rFonts w:hint="eastAsia" w:ascii="Times New Roman" w:hAnsi="宋体"/>
          <w:b/>
          <w:bCs/>
          <w:sz w:val="44"/>
          <w:szCs w:val="44"/>
        </w:rPr>
      </w:pPr>
      <w:r>
        <w:rPr>
          <w:rFonts w:hint="eastAsia" w:ascii="Times New Roman" w:hAnsi="宋体"/>
          <w:b/>
          <w:bCs/>
          <w:sz w:val="44"/>
          <w:szCs w:val="44"/>
        </w:rPr>
        <w:t>VTE 智能防控管理系统服务需求表</w:t>
      </w:r>
    </w:p>
    <w:p w14:paraId="49DCD52A">
      <w:pPr>
        <w:outlineLvl w:val="1"/>
        <w:rPr>
          <w:rFonts w:hint="eastAsia" w:ascii="Times New Roman" w:hAnsi="宋体"/>
          <w:b/>
          <w:bCs/>
          <w:sz w:val="30"/>
          <w:szCs w:val="30"/>
        </w:rPr>
      </w:pPr>
    </w:p>
    <w:p w14:paraId="1AE2B4F8">
      <w:pPr>
        <w:outlineLvl w:val="1"/>
        <w:rPr>
          <w:rFonts w:ascii="Times New Roman" w:hAnsi="宋体"/>
          <w:b/>
          <w:bCs/>
          <w:sz w:val="30"/>
          <w:szCs w:val="30"/>
        </w:rPr>
      </w:pPr>
      <w:r>
        <w:rPr>
          <w:rFonts w:hint="eastAsia" w:ascii="Times New Roman" w:hAnsi="宋体"/>
          <w:b/>
          <w:bCs/>
          <w:sz w:val="30"/>
          <w:szCs w:val="30"/>
        </w:rPr>
        <w:t>（一）系统技术规格基本要求</w:t>
      </w:r>
    </w:p>
    <w:p w14:paraId="064556B4">
      <w:pPr>
        <w:numPr>
          <w:ilvl w:val="0"/>
          <w:numId w:val="1"/>
        </w:numPr>
        <w:jc w:val="left"/>
        <w:rPr>
          <w:rFonts w:ascii="华文仿宋" w:hAnsi="华文仿宋" w:eastAsia="华文仿宋"/>
          <w:sz w:val="24"/>
        </w:rPr>
      </w:pPr>
      <w:r>
        <w:rPr>
          <w:rFonts w:ascii="华文仿宋" w:hAnsi="华文仿宋" w:eastAsia="华文仿宋"/>
          <w:sz w:val="24"/>
        </w:rPr>
        <w:t>安全要求：</w:t>
      </w:r>
      <w:r>
        <w:rPr>
          <w:rFonts w:hint="eastAsia" w:ascii="华文仿宋" w:hAnsi="华文仿宋" w:eastAsia="华文仿宋"/>
          <w:sz w:val="24"/>
        </w:rPr>
        <w:t>符合医院相关等保要求。</w:t>
      </w:r>
    </w:p>
    <w:p w14:paraId="2D1BEB3E">
      <w:pPr>
        <w:numPr>
          <w:ilvl w:val="0"/>
          <w:numId w:val="1"/>
        </w:numPr>
        <w:rPr>
          <w:rFonts w:ascii="华文仿宋" w:hAnsi="华文仿宋" w:eastAsia="华文仿宋"/>
          <w:sz w:val="24"/>
        </w:rPr>
      </w:pPr>
      <w:bookmarkStart w:id="0" w:name="_Toc226172712"/>
      <w:r>
        <w:rPr>
          <w:rFonts w:ascii="华文仿宋" w:hAnsi="华文仿宋" w:eastAsia="华文仿宋"/>
          <w:sz w:val="24"/>
        </w:rPr>
        <w:t>接口要求</w:t>
      </w:r>
    </w:p>
    <w:p w14:paraId="231C77AD">
      <w:pPr>
        <w:numPr>
          <w:ilvl w:val="1"/>
          <w:numId w:val="1"/>
        </w:numPr>
        <w:rPr>
          <w:rFonts w:ascii="华文仿宋" w:hAnsi="华文仿宋" w:eastAsia="华文仿宋"/>
          <w:sz w:val="24"/>
        </w:rPr>
      </w:pPr>
      <w:r>
        <w:rPr>
          <w:rFonts w:ascii="华文仿宋" w:hAnsi="华文仿宋" w:eastAsia="华文仿宋"/>
          <w:sz w:val="24"/>
        </w:rPr>
        <w:t>符合卫计委颁布的《医院信息系统功能基本规范》</w:t>
      </w:r>
      <w:r>
        <w:rPr>
          <w:rFonts w:hint="eastAsia" w:ascii="华文仿宋" w:hAnsi="华文仿宋" w:eastAsia="华文仿宋"/>
          <w:sz w:val="24"/>
        </w:rPr>
        <w:t>；符合国家卫生健康委员会规划与信息司于2018年发布的《全国医院信息化建设标准与规范（试行）》；</w:t>
      </w:r>
    </w:p>
    <w:p w14:paraId="1627ECA2">
      <w:pPr>
        <w:numPr>
          <w:ilvl w:val="1"/>
          <w:numId w:val="1"/>
        </w:numPr>
        <w:rPr>
          <w:rFonts w:ascii="华文仿宋" w:hAnsi="华文仿宋" w:eastAsia="华文仿宋"/>
          <w:sz w:val="24"/>
        </w:rPr>
      </w:pPr>
      <w:r>
        <w:rPr>
          <w:rFonts w:ascii="华文仿宋" w:hAnsi="华文仿宋" w:eastAsia="华文仿宋"/>
          <w:sz w:val="24"/>
        </w:rPr>
        <w:t>符合卫计委颁布的《电子病历系统功能规范（试行）》</w:t>
      </w:r>
      <w:r>
        <w:rPr>
          <w:rFonts w:hint="eastAsia" w:ascii="华文仿宋" w:hAnsi="华文仿宋" w:eastAsia="华文仿宋"/>
          <w:sz w:val="24"/>
        </w:rPr>
        <w:t>；</w:t>
      </w:r>
    </w:p>
    <w:p w14:paraId="14ADD2F4">
      <w:pPr>
        <w:numPr>
          <w:ilvl w:val="1"/>
          <w:numId w:val="1"/>
        </w:numPr>
        <w:rPr>
          <w:rFonts w:ascii="华文仿宋" w:hAnsi="华文仿宋" w:eastAsia="华文仿宋"/>
          <w:sz w:val="24"/>
        </w:rPr>
      </w:pPr>
      <w:r>
        <w:rPr>
          <w:rFonts w:ascii="华文仿宋" w:hAnsi="华文仿宋" w:eastAsia="华文仿宋"/>
          <w:sz w:val="24"/>
        </w:rPr>
        <w:t>符合卫计委颁发的《电子病历系统功能应用水平分级评价方法及标准（试行）》</w:t>
      </w:r>
      <w:r>
        <w:rPr>
          <w:rFonts w:hint="eastAsia" w:ascii="华文仿宋" w:hAnsi="华文仿宋" w:eastAsia="华文仿宋"/>
          <w:sz w:val="24"/>
        </w:rPr>
        <w:t>；</w:t>
      </w:r>
    </w:p>
    <w:p w14:paraId="6B8294C8">
      <w:pPr>
        <w:numPr>
          <w:ilvl w:val="1"/>
          <w:numId w:val="1"/>
        </w:numPr>
        <w:rPr>
          <w:rFonts w:ascii="华文仿宋" w:hAnsi="华文仿宋" w:eastAsia="华文仿宋"/>
          <w:sz w:val="24"/>
        </w:rPr>
      </w:pPr>
      <w:r>
        <w:rPr>
          <w:rFonts w:ascii="华文仿宋" w:hAnsi="华文仿宋" w:eastAsia="华文仿宋"/>
          <w:sz w:val="24"/>
        </w:rPr>
        <w:t>能够与医院</w:t>
      </w:r>
      <w:r>
        <w:rPr>
          <w:rFonts w:hint="eastAsia" w:ascii="华文仿宋" w:hAnsi="华文仿宋" w:eastAsia="华文仿宋"/>
          <w:sz w:val="24"/>
        </w:rPr>
        <w:t>H</w:t>
      </w:r>
      <w:r>
        <w:rPr>
          <w:rFonts w:ascii="华文仿宋" w:hAnsi="华文仿宋" w:eastAsia="华文仿宋"/>
          <w:sz w:val="24"/>
        </w:rPr>
        <w:t>IS</w:t>
      </w:r>
      <w:r>
        <w:rPr>
          <w:rFonts w:hint="eastAsia" w:ascii="华文仿宋" w:hAnsi="华文仿宋" w:eastAsia="华文仿宋"/>
          <w:sz w:val="24"/>
        </w:rPr>
        <w:t>系统电子病历</w:t>
      </w:r>
      <w:r>
        <w:rPr>
          <w:rFonts w:ascii="华文仿宋" w:hAnsi="华文仿宋" w:eastAsia="华文仿宋"/>
          <w:sz w:val="24"/>
        </w:rPr>
        <w:t>对接，获取</w:t>
      </w:r>
      <w:r>
        <w:rPr>
          <w:rFonts w:hint="eastAsia" w:ascii="华文仿宋" w:hAnsi="华文仿宋" w:eastAsia="华文仿宋"/>
          <w:sz w:val="24"/>
        </w:rPr>
        <w:t>相关</w:t>
      </w:r>
      <w:r>
        <w:rPr>
          <w:rFonts w:ascii="华文仿宋" w:hAnsi="华文仿宋" w:eastAsia="华文仿宋"/>
          <w:sz w:val="24"/>
        </w:rPr>
        <w:t>数据内容</w:t>
      </w:r>
      <w:r>
        <w:rPr>
          <w:rFonts w:hint="eastAsia" w:ascii="华文仿宋" w:hAnsi="华文仿宋" w:eastAsia="华文仿宋"/>
          <w:sz w:val="24"/>
        </w:rPr>
        <w:t>。</w:t>
      </w:r>
    </w:p>
    <w:p w14:paraId="1F06341B">
      <w:pPr>
        <w:numPr>
          <w:ilvl w:val="0"/>
          <w:numId w:val="1"/>
        </w:numPr>
        <w:rPr>
          <w:rFonts w:ascii="华文仿宋" w:hAnsi="华文仿宋" w:eastAsia="华文仿宋"/>
          <w:sz w:val="24"/>
        </w:rPr>
      </w:pPr>
      <w:r>
        <w:rPr>
          <w:rFonts w:ascii="华文仿宋" w:hAnsi="华文仿宋" w:eastAsia="华文仿宋"/>
          <w:sz w:val="24"/>
        </w:rPr>
        <w:t>性能要求：提供不同级别，不同故障情况下的应用系统的应急预案（指技术实现方案）。避免因计算机故障导致的医疗工作的延迟和医疗差错。</w:t>
      </w:r>
    </w:p>
    <w:p w14:paraId="4C09B0EC">
      <w:pPr>
        <w:numPr>
          <w:ilvl w:val="0"/>
          <w:numId w:val="1"/>
        </w:numPr>
        <w:rPr>
          <w:rFonts w:ascii="华文仿宋" w:hAnsi="华文仿宋" w:eastAsia="华文仿宋"/>
          <w:sz w:val="24"/>
        </w:rPr>
      </w:pPr>
      <w:r>
        <w:rPr>
          <w:rFonts w:ascii="华文仿宋" w:hAnsi="华文仿宋" w:eastAsia="华文仿宋"/>
          <w:sz w:val="24"/>
        </w:rPr>
        <w:t>数据格式化要求：不需要电子病历实现结构化录入，可以从非结构化电子病历内容中，通过机器学习，自动抽取结构化信息。</w:t>
      </w:r>
      <w:r>
        <w:rPr>
          <w:rFonts w:hint="eastAsia" w:ascii="华文仿宋" w:hAnsi="华文仿宋" w:eastAsia="华文仿宋"/>
          <w:sz w:val="24"/>
        </w:rPr>
        <w:t>系统开发语言采用跨平台、扩展性强的JAVA语言，同时支持B/S和C</w:t>
      </w:r>
      <w:r>
        <w:rPr>
          <w:rFonts w:ascii="华文仿宋" w:hAnsi="华文仿宋" w:eastAsia="华文仿宋"/>
          <w:sz w:val="24"/>
        </w:rPr>
        <w:t>/S</w:t>
      </w:r>
      <w:r>
        <w:rPr>
          <w:rFonts w:hint="eastAsia" w:ascii="华文仿宋" w:hAnsi="华文仿宋" w:eastAsia="华文仿宋"/>
          <w:sz w:val="24"/>
        </w:rPr>
        <w:t>架构。</w:t>
      </w:r>
    </w:p>
    <w:p w14:paraId="2AD521A8">
      <w:pPr>
        <w:numPr>
          <w:ilvl w:val="0"/>
          <w:numId w:val="1"/>
        </w:numPr>
        <w:rPr>
          <w:rFonts w:ascii="华文仿宋" w:hAnsi="华文仿宋" w:eastAsia="华文仿宋"/>
          <w:sz w:val="24"/>
        </w:rPr>
      </w:pPr>
      <w:r>
        <w:rPr>
          <w:rFonts w:ascii="华文仿宋" w:hAnsi="华文仿宋" w:eastAsia="华文仿宋"/>
          <w:sz w:val="24"/>
        </w:rPr>
        <w:t>终端用户操作性能指标：软件系统要体现易于理解掌握、操作简单、提示清晰、逻辑性强，直观简洁、帮助信息丰富等特点，保证操作人员以最快速度和最少的击键次数完成工作</w:t>
      </w:r>
    </w:p>
    <w:p w14:paraId="4D78EE4A">
      <w:pPr>
        <w:pStyle w:val="3"/>
        <w:numPr>
          <w:ilvl w:val="0"/>
          <w:numId w:val="1"/>
        </w:numPr>
        <w:rPr>
          <w:rFonts w:ascii="华文仿宋" w:hAnsi="华文仿宋" w:eastAsia="华文仿宋"/>
          <w:sz w:val="24"/>
        </w:rPr>
      </w:pPr>
      <w:r>
        <w:rPr>
          <w:rFonts w:hint="eastAsia" w:ascii="华文仿宋" w:hAnsi="华文仿宋" w:eastAsia="华文仿宋"/>
          <w:sz w:val="24"/>
        </w:rPr>
        <w:t>满足《全国VTE形成防治能力建设项目中心建设标准》（2021年版）、《全国肺栓塞和深静脉血栓形成防治能力建设项目VTE 防治质量评价与管理建议》（2022版）的各项要求。</w:t>
      </w:r>
    </w:p>
    <w:p w14:paraId="131C4353">
      <w:pPr>
        <w:pStyle w:val="3"/>
        <w:numPr>
          <w:ilvl w:val="0"/>
          <w:numId w:val="1"/>
        </w:numPr>
        <w:rPr>
          <w:rFonts w:ascii="华文仿宋" w:hAnsi="华文仿宋" w:eastAsia="华文仿宋"/>
          <w:sz w:val="24"/>
        </w:rPr>
      </w:pPr>
      <w:r>
        <w:rPr>
          <w:rFonts w:hint="eastAsia" w:ascii="华文仿宋" w:hAnsi="华文仿宋" w:eastAsia="华文仿宋"/>
          <w:sz w:val="24"/>
        </w:rPr>
        <w:t>系统需满足《全国肺栓塞和深静脉血栓形成防治能力建设项目信息化应用与质控管理建议》对VTE信息系统四级标准及以上的技术标准，并具备五级互联互通升级能力。</w:t>
      </w:r>
    </w:p>
    <w:p w14:paraId="5D515217">
      <w:pPr>
        <w:numPr>
          <w:ilvl w:val="0"/>
          <w:numId w:val="2"/>
        </w:numPr>
        <w:outlineLvl w:val="1"/>
        <w:rPr>
          <w:rFonts w:ascii="Times New Roman" w:hAnsi="宋体"/>
          <w:b/>
          <w:bCs/>
          <w:sz w:val="30"/>
          <w:szCs w:val="30"/>
        </w:rPr>
      </w:pPr>
      <w:r>
        <w:rPr>
          <w:rFonts w:ascii="Times New Roman" w:hAnsi="宋体"/>
          <w:b/>
          <w:bCs/>
          <w:sz w:val="30"/>
          <w:szCs w:val="30"/>
        </w:rPr>
        <w:t>系统功能要求</w:t>
      </w:r>
    </w:p>
    <w:tbl>
      <w:tblPr>
        <w:tblStyle w:val="4"/>
        <w:tblpPr w:leftFromText="180" w:rightFromText="180" w:vertAnchor="page" w:horzAnchor="page" w:tblpX="1365" w:tblpY="3198"/>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406"/>
        <w:gridCol w:w="2543"/>
        <w:gridCol w:w="4310"/>
      </w:tblGrid>
      <w:tr w14:paraId="037D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91" w:type="dxa"/>
            <w:shd w:val="clear" w:color="000000" w:fill="D8D8D8"/>
            <w:vAlign w:val="center"/>
          </w:tcPr>
          <w:p w14:paraId="673E3318">
            <w:pPr>
              <w:widowControl/>
              <w:spacing w:line="240" w:lineRule="auto"/>
              <w:jc w:val="center"/>
              <w:rPr>
                <w:rFonts w:ascii="宋体" w:hAnsi="宋体" w:cs="宋体"/>
                <w:color w:val="000000"/>
                <w:kern w:val="0"/>
                <w:sz w:val="24"/>
              </w:rPr>
            </w:pPr>
            <w:r>
              <w:rPr>
                <w:rFonts w:hint="eastAsia" w:ascii="宋体" w:hAnsi="宋体" w:cs="宋体"/>
                <w:color w:val="000000"/>
                <w:kern w:val="0"/>
                <w:sz w:val="24"/>
              </w:rPr>
              <w:t>名称</w:t>
            </w:r>
          </w:p>
        </w:tc>
        <w:tc>
          <w:tcPr>
            <w:tcW w:w="1406" w:type="dxa"/>
            <w:shd w:val="clear" w:color="000000" w:fill="D8D8D8"/>
            <w:vAlign w:val="center"/>
          </w:tcPr>
          <w:p w14:paraId="5581A04B">
            <w:pPr>
              <w:widowControl/>
              <w:spacing w:line="240" w:lineRule="auto"/>
              <w:jc w:val="center"/>
              <w:rPr>
                <w:rFonts w:ascii="宋体" w:hAnsi="宋体" w:cs="宋体"/>
                <w:bCs/>
                <w:color w:val="000000"/>
                <w:kern w:val="0"/>
                <w:sz w:val="24"/>
              </w:rPr>
            </w:pPr>
            <w:r>
              <w:rPr>
                <w:rFonts w:hint="eastAsia" w:ascii="宋体" w:hAnsi="宋体" w:cs="宋体"/>
                <w:bCs/>
                <w:color w:val="000000"/>
                <w:kern w:val="0"/>
                <w:sz w:val="24"/>
              </w:rPr>
              <w:t>模块</w:t>
            </w:r>
          </w:p>
        </w:tc>
        <w:tc>
          <w:tcPr>
            <w:tcW w:w="2543" w:type="dxa"/>
            <w:shd w:val="clear" w:color="000000" w:fill="D8D8D8"/>
            <w:vAlign w:val="center"/>
          </w:tcPr>
          <w:p w14:paraId="171B7968">
            <w:pPr>
              <w:widowControl/>
              <w:spacing w:line="240" w:lineRule="auto"/>
              <w:jc w:val="center"/>
              <w:rPr>
                <w:rFonts w:ascii="宋体" w:hAnsi="宋体" w:cs="宋体"/>
                <w:color w:val="000000"/>
                <w:kern w:val="0"/>
                <w:sz w:val="24"/>
              </w:rPr>
            </w:pPr>
            <w:r>
              <w:rPr>
                <w:rFonts w:hint="eastAsia" w:ascii="宋体" w:hAnsi="宋体" w:cs="宋体"/>
                <w:color w:val="000000"/>
                <w:kern w:val="0"/>
                <w:sz w:val="24"/>
              </w:rPr>
              <w:t>建设内容</w:t>
            </w:r>
          </w:p>
        </w:tc>
        <w:tc>
          <w:tcPr>
            <w:tcW w:w="4310" w:type="dxa"/>
            <w:shd w:val="clear" w:color="000000" w:fill="D8D8D8"/>
            <w:vAlign w:val="center"/>
          </w:tcPr>
          <w:p w14:paraId="06DFF5AA">
            <w:pPr>
              <w:spacing w:after="120" w:line="240" w:lineRule="auto"/>
              <w:ind w:left="420" w:leftChars="200" w:firstLine="480" w:firstLineChars="200"/>
              <w:jc w:val="center"/>
              <w:rPr>
                <w:rFonts w:hint="default" w:ascii="宋体" w:hAnsi="宋体" w:eastAsia="宋体"/>
                <w:b/>
                <w:sz w:val="24"/>
                <w:lang w:val="en-US" w:eastAsia="zh-CN"/>
              </w:rPr>
            </w:pPr>
            <w:r>
              <w:rPr>
                <w:rFonts w:hint="eastAsia" w:ascii="宋体" w:hAnsi="宋体" w:cs="宋体"/>
                <w:color w:val="000000"/>
                <w:kern w:val="0"/>
                <w:sz w:val="24"/>
                <w:lang w:val="en-US" w:eastAsia="zh-CN"/>
              </w:rPr>
              <w:t>内容描述</w:t>
            </w:r>
          </w:p>
        </w:tc>
      </w:tr>
      <w:tr w14:paraId="3F73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1291" w:type="dxa"/>
            <w:vMerge w:val="restart"/>
            <w:shd w:val="clear" w:color="auto" w:fill="auto"/>
            <w:vAlign w:val="center"/>
          </w:tcPr>
          <w:p w14:paraId="1684D356">
            <w:pPr>
              <w:widowControl/>
              <w:spacing w:line="240" w:lineRule="auto"/>
              <w:jc w:val="center"/>
              <w:rPr>
                <w:rFonts w:ascii="Arial" w:hAnsi="Arial" w:eastAsia="楷体_GB2312"/>
                <w:b/>
                <w:bCs/>
                <w:sz w:val="28"/>
              </w:rPr>
            </w:pPr>
            <w:bookmarkStart w:id="1" w:name="_Hlk155345325"/>
            <w:r>
              <w:rPr>
                <w:rFonts w:hint="eastAsia" w:ascii="宋体" w:hAnsi="宋体" w:cs="宋体"/>
                <w:b/>
                <w:bCs/>
                <w:color w:val="000000"/>
                <w:kern w:val="0"/>
                <w:szCs w:val="21"/>
              </w:rPr>
              <w:t>院内静脉血栓(VTE)智能防控管理一体化平台</w:t>
            </w:r>
          </w:p>
          <w:bookmarkEnd w:id="1"/>
          <w:p w14:paraId="6C628633">
            <w:pPr>
              <w:widowControl/>
              <w:spacing w:line="240" w:lineRule="auto"/>
              <w:jc w:val="center"/>
              <w:rPr>
                <w:rFonts w:ascii="宋体" w:hAnsi="宋体" w:cs="宋体"/>
                <w:color w:val="000000"/>
                <w:kern w:val="0"/>
                <w:szCs w:val="21"/>
              </w:rPr>
            </w:pPr>
          </w:p>
        </w:tc>
        <w:tc>
          <w:tcPr>
            <w:tcW w:w="1406" w:type="dxa"/>
            <w:vMerge w:val="restart"/>
            <w:vAlign w:val="center"/>
          </w:tcPr>
          <w:p w14:paraId="3C67B7EF">
            <w:pPr>
              <w:widowControl/>
              <w:spacing w:line="240" w:lineRule="auto"/>
              <w:jc w:val="center"/>
              <w:rPr>
                <w:rFonts w:ascii="宋体" w:hAnsi="宋体" w:cs="宋体"/>
                <w:color w:val="000000"/>
                <w:kern w:val="0"/>
                <w:szCs w:val="21"/>
              </w:rPr>
            </w:pPr>
            <w:r>
              <w:rPr>
                <w:rFonts w:hint="eastAsia" w:ascii="宋体" w:hAnsi="宋体" w:cs="宋体"/>
                <w:b/>
                <w:color w:val="000000"/>
                <w:kern w:val="0"/>
                <w:szCs w:val="21"/>
              </w:rPr>
              <w:t>智能化</w:t>
            </w:r>
            <w:r>
              <w:rPr>
                <w:rFonts w:ascii="宋体" w:hAnsi="宋体" w:cs="宋体"/>
                <w:b/>
                <w:color w:val="000000"/>
                <w:kern w:val="0"/>
                <w:szCs w:val="21"/>
              </w:rPr>
              <w:t>风险评估</w:t>
            </w:r>
            <w:r>
              <w:rPr>
                <w:rFonts w:hint="eastAsia" w:ascii="宋体" w:hAnsi="宋体" w:cs="宋体"/>
                <w:b/>
                <w:color w:val="000000"/>
                <w:kern w:val="0"/>
                <w:szCs w:val="21"/>
              </w:rPr>
              <w:t>模块</w:t>
            </w:r>
          </w:p>
        </w:tc>
        <w:tc>
          <w:tcPr>
            <w:tcW w:w="2543" w:type="dxa"/>
            <w:shd w:val="clear" w:color="auto" w:fill="auto"/>
            <w:vAlign w:val="center"/>
          </w:tcPr>
          <w:p w14:paraId="039369C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智能化全评估量表</w:t>
            </w:r>
          </w:p>
        </w:tc>
        <w:tc>
          <w:tcPr>
            <w:tcW w:w="4310" w:type="dxa"/>
          </w:tcPr>
          <w:p w14:paraId="4D169B62">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实现V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风险智能化的自动评估功能，自动嵌入常用的VTE和出血评估量表（Caprini、Padua、sPESI、Geneva、Wells-DVT、Khorana、CHA2DS2-VASC、Hasbl</w:t>
            </w:r>
            <w:bookmarkStart w:id="2" w:name="_GoBack"/>
            <w:bookmarkEnd w:id="2"/>
            <w:r>
              <w:rPr>
                <w:rFonts w:hint="eastAsia" w:ascii="华文仿宋" w:hAnsi="华文仿宋" w:eastAsia="华文仿宋" w:cs="宋体"/>
                <w:color w:val="000000"/>
                <w:kern w:val="0"/>
                <w:szCs w:val="21"/>
              </w:rPr>
              <w:t>ed、RCON、RAPT、出血评估）量表数量&gt;</w:t>
            </w:r>
            <w:r>
              <w:rPr>
                <w:rFonts w:ascii="华文仿宋" w:hAnsi="华文仿宋" w:eastAsia="华文仿宋" w:cs="宋体"/>
                <w:color w:val="000000"/>
                <w:kern w:val="0"/>
                <w:szCs w:val="21"/>
              </w:rPr>
              <w:t>10,</w:t>
            </w:r>
            <w:r>
              <w:rPr>
                <w:rFonts w:hint="eastAsia" w:ascii="华文仿宋" w:hAnsi="华文仿宋" w:eastAsia="华文仿宋" w:cs="宋体"/>
                <w:color w:val="000000"/>
                <w:kern w:val="0"/>
                <w:szCs w:val="21"/>
              </w:rPr>
              <w:t>支持自动勾选和手动勾选</w:t>
            </w:r>
          </w:p>
        </w:tc>
      </w:tr>
      <w:tr w14:paraId="2654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291" w:type="dxa"/>
            <w:vMerge w:val="continue"/>
            <w:shd w:val="clear" w:color="auto" w:fill="auto"/>
            <w:vAlign w:val="center"/>
          </w:tcPr>
          <w:p w14:paraId="10D8D1FC">
            <w:pPr>
              <w:spacing w:line="240" w:lineRule="auto"/>
              <w:jc w:val="center"/>
              <w:rPr>
                <w:rFonts w:ascii="宋体" w:hAnsi="宋体" w:cs="宋体"/>
                <w:color w:val="000000"/>
                <w:kern w:val="0"/>
                <w:szCs w:val="21"/>
              </w:rPr>
            </w:pPr>
          </w:p>
        </w:tc>
        <w:tc>
          <w:tcPr>
            <w:tcW w:w="1406" w:type="dxa"/>
            <w:vMerge w:val="continue"/>
            <w:vAlign w:val="center"/>
          </w:tcPr>
          <w:p w14:paraId="0BC20960">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073A141">
            <w:pPr>
              <w:widowControl/>
              <w:spacing w:line="240" w:lineRule="auto"/>
              <w:jc w:val="center"/>
              <w:rPr>
                <w:rFonts w:ascii="华文仿宋" w:hAnsi="华文仿宋" w:eastAsia="华文仿宋" w:cs="宋体"/>
                <w:color w:val="000000"/>
                <w:kern w:val="0"/>
                <w:szCs w:val="21"/>
              </w:rPr>
            </w:pPr>
            <w:r>
              <w:rPr>
                <w:rFonts w:ascii="华文仿宋" w:hAnsi="华文仿宋" w:eastAsia="华文仿宋" w:cs="宋体"/>
                <w:color w:val="000000"/>
                <w:kern w:val="0"/>
                <w:szCs w:val="21"/>
              </w:rPr>
              <w:t>免评</w:t>
            </w:r>
            <w:r>
              <w:rPr>
                <w:rFonts w:hint="eastAsia" w:ascii="华文仿宋" w:hAnsi="华文仿宋" w:eastAsia="华文仿宋" w:cs="宋体"/>
                <w:color w:val="000000"/>
                <w:kern w:val="0"/>
                <w:szCs w:val="21"/>
              </w:rPr>
              <w:t>设置</w:t>
            </w:r>
          </w:p>
        </w:tc>
        <w:tc>
          <w:tcPr>
            <w:tcW w:w="4310" w:type="dxa"/>
          </w:tcPr>
          <w:p w14:paraId="0E64CB7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可根据病人情况对于确诊病人以及年龄小于1</w:t>
            </w:r>
            <w:r>
              <w:rPr>
                <w:rFonts w:ascii="华文仿宋" w:hAnsi="华文仿宋" w:eastAsia="华文仿宋" w:cs="宋体"/>
                <w:color w:val="000000"/>
                <w:kern w:val="0"/>
                <w:szCs w:val="21"/>
              </w:rPr>
              <w:t>3</w:t>
            </w:r>
            <w:r>
              <w:rPr>
                <w:rFonts w:hint="eastAsia" w:ascii="华文仿宋" w:hAnsi="华文仿宋" w:eastAsia="华文仿宋" w:cs="宋体"/>
                <w:color w:val="000000"/>
                <w:kern w:val="0"/>
                <w:szCs w:val="21"/>
              </w:rPr>
              <w:t>的病人提供自动免评功能</w:t>
            </w:r>
          </w:p>
        </w:tc>
      </w:tr>
      <w:tr w14:paraId="6046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291" w:type="dxa"/>
            <w:vMerge w:val="continue"/>
            <w:shd w:val="clear" w:color="auto" w:fill="auto"/>
            <w:vAlign w:val="center"/>
          </w:tcPr>
          <w:p w14:paraId="77B624C6">
            <w:pPr>
              <w:spacing w:line="240" w:lineRule="auto"/>
              <w:jc w:val="center"/>
              <w:rPr>
                <w:rFonts w:ascii="宋体" w:hAnsi="宋体" w:cs="宋体"/>
                <w:color w:val="000000"/>
                <w:kern w:val="0"/>
                <w:szCs w:val="21"/>
              </w:rPr>
            </w:pPr>
          </w:p>
        </w:tc>
        <w:tc>
          <w:tcPr>
            <w:tcW w:w="1406" w:type="dxa"/>
            <w:vMerge w:val="continue"/>
            <w:vAlign w:val="center"/>
          </w:tcPr>
          <w:p w14:paraId="3A83B06F">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29E74C98">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定时</w:t>
            </w:r>
            <w:r>
              <w:rPr>
                <w:rFonts w:ascii="华文仿宋" w:hAnsi="华文仿宋" w:eastAsia="华文仿宋" w:cs="宋体"/>
                <w:color w:val="000000"/>
                <w:kern w:val="0"/>
                <w:szCs w:val="21"/>
              </w:rPr>
              <w:t>评估</w:t>
            </w:r>
            <w:r>
              <w:rPr>
                <w:rFonts w:hint="eastAsia" w:ascii="华文仿宋" w:hAnsi="华文仿宋" w:eastAsia="华文仿宋" w:cs="宋体"/>
                <w:color w:val="000000"/>
                <w:kern w:val="0"/>
                <w:szCs w:val="21"/>
              </w:rPr>
              <w:t>设置</w:t>
            </w:r>
          </w:p>
        </w:tc>
        <w:tc>
          <w:tcPr>
            <w:tcW w:w="4310" w:type="dxa"/>
          </w:tcPr>
          <w:p w14:paraId="7979E80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可根据需求实现不同量表定时开展智能化自动评估的功能</w:t>
            </w:r>
          </w:p>
        </w:tc>
      </w:tr>
      <w:tr w14:paraId="6755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shd w:val="clear" w:color="auto" w:fill="auto"/>
            <w:vAlign w:val="center"/>
          </w:tcPr>
          <w:p w14:paraId="65F8DD85">
            <w:pPr>
              <w:spacing w:line="240" w:lineRule="auto"/>
              <w:jc w:val="center"/>
              <w:rPr>
                <w:rFonts w:ascii="宋体" w:hAnsi="宋体" w:cs="宋体"/>
                <w:color w:val="000000"/>
                <w:kern w:val="0"/>
                <w:szCs w:val="21"/>
              </w:rPr>
            </w:pPr>
          </w:p>
        </w:tc>
        <w:tc>
          <w:tcPr>
            <w:tcW w:w="1406" w:type="dxa"/>
            <w:vMerge w:val="continue"/>
            <w:vAlign w:val="center"/>
          </w:tcPr>
          <w:p w14:paraId="6F962217">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6D952534">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动态</w:t>
            </w:r>
            <w:r>
              <w:rPr>
                <w:rFonts w:ascii="华文仿宋" w:hAnsi="华文仿宋" w:eastAsia="华文仿宋" w:cs="宋体"/>
                <w:color w:val="000000"/>
                <w:kern w:val="0"/>
                <w:szCs w:val="21"/>
              </w:rPr>
              <w:t>评估</w:t>
            </w:r>
            <w:r>
              <w:rPr>
                <w:rFonts w:hint="eastAsia" w:ascii="华文仿宋" w:hAnsi="华文仿宋" w:eastAsia="华文仿宋" w:cs="宋体"/>
                <w:color w:val="000000"/>
                <w:kern w:val="0"/>
                <w:szCs w:val="21"/>
              </w:rPr>
              <w:t>设置</w:t>
            </w:r>
          </w:p>
        </w:tc>
        <w:tc>
          <w:tcPr>
            <w:tcW w:w="4310" w:type="dxa"/>
          </w:tcPr>
          <w:p w14:paraId="6017079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可自动对患者进行多个时间点的多次VTE智能风险评估，（包含：入院，术后，病情变化、出院、转科等）</w:t>
            </w:r>
          </w:p>
        </w:tc>
      </w:tr>
      <w:tr w14:paraId="2CFF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1291" w:type="dxa"/>
            <w:vMerge w:val="continue"/>
            <w:shd w:val="clear" w:color="auto" w:fill="auto"/>
            <w:vAlign w:val="center"/>
          </w:tcPr>
          <w:p w14:paraId="331B6CB3">
            <w:pPr>
              <w:spacing w:line="240" w:lineRule="auto"/>
              <w:jc w:val="center"/>
              <w:rPr>
                <w:rFonts w:ascii="宋体" w:hAnsi="宋体" w:cs="宋体"/>
                <w:color w:val="000000"/>
                <w:kern w:val="0"/>
                <w:szCs w:val="21"/>
              </w:rPr>
            </w:pPr>
          </w:p>
        </w:tc>
        <w:tc>
          <w:tcPr>
            <w:tcW w:w="1406" w:type="dxa"/>
            <w:vMerge w:val="continue"/>
            <w:vAlign w:val="center"/>
          </w:tcPr>
          <w:p w14:paraId="08C1D90C">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4110FDC2">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人工</w:t>
            </w:r>
            <w:r>
              <w:rPr>
                <w:rFonts w:ascii="华文仿宋" w:hAnsi="华文仿宋" w:eastAsia="华文仿宋" w:cs="宋体"/>
                <w:color w:val="000000"/>
                <w:kern w:val="0"/>
                <w:szCs w:val="21"/>
              </w:rPr>
              <w:t>审核</w:t>
            </w:r>
          </w:p>
        </w:tc>
        <w:tc>
          <w:tcPr>
            <w:tcW w:w="4310" w:type="dxa"/>
          </w:tcPr>
          <w:p w14:paraId="05A3BC24">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医护协同的评估功能，可自动提醒未评估和未处理的医生护士前往评估处理，提供二次修改和删除功能</w:t>
            </w:r>
          </w:p>
        </w:tc>
      </w:tr>
      <w:tr w14:paraId="73F4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291" w:type="dxa"/>
            <w:vMerge w:val="continue"/>
            <w:shd w:val="clear" w:color="auto" w:fill="auto"/>
            <w:vAlign w:val="center"/>
          </w:tcPr>
          <w:p w14:paraId="3E9C884B">
            <w:pPr>
              <w:spacing w:line="240" w:lineRule="auto"/>
              <w:jc w:val="center"/>
              <w:rPr>
                <w:rFonts w:ascii="宋体" w:hAnsi="宋体" w:cs="宋体"/>
                <w:color w:val="000000"/>
                <w:kern w:val="0"/>
                <w:szCs w:val="21"/>
              </w:rPr>
            </w:pPr>
          </w:p>
        </w:tc>
        <w:tc>
          <w:tcPr>
            <w:tcW w:w="1406" w:type="dxa"/>
            <w:vMerge w:val="continue"/>
            <w:vAlign w:val="center"/>
          </w:tcPr>
          <w:p w14:paraId="68D7C920">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66F469AB">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医护分项管理</w:t>
            </w:r>
          </w:p>
        </w:tc>
        <w:tc>
          <w:tcPr>
            <w:tcW w:w="4310" w:type="dxa"/>
          </w:tcPr>
          <w:p w14:paraId="2E818756">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支持按照医护角色分别展示评估确认情况</w:t>
            </w:r>
          </w:p>
        </w:tc>
      </w:tr>
      <w:tr w14:paraId="24F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291" w:type="dxa"/>
            <w:vMerge w:val="continue"/>
            <w:shd w:val="clear" w:color="auto" w:fill="auto"/>
            <w:vAlign w:val="center"/>
          </w:tcPr>
          <w:p w14:paraId="3B58BB39">
            <w:pPr>
              <w:spacing w:line="240" w:lineRule="auto"/>
              <w:jc w:val="center"/>
              <w:rPr>
                <w:rFonts w:ascii="宋体" w:hAnsi="宋体" w:cs="宋体"/>
                <w:color w:val="000000"/>
                <w:kern w:val="0"/>
                <w:szCs w:val="21"/>
              </w:rPr>
            </w:pPr>
          </w:p>
        </w:tc>
        <w:tc>
          <w:tcPr>
            <w:tcW w:w="1406" w:type="dxa"/>
            <w:vMerge w:val="continue"/>
            <w:vAlign w:val="center"/>
          </w:tcPr>
          <w:p w14:paraId="12083773">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29E20395">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异常</w:t>
            </w:r>
            <w:r>
              <w:rPr>
                <w:rFonts w:ascii="华文仿宋" w:hAnsi="华文仿宋" w:eastAsia="华文仿宋" w:cs="宋体"/>
                <w:color w:val="000000"/>
                <w:kern w:val="0"/>
                <w:szCs w:val="21"/>
              </w:rPr>
              <w:t>信息溯源</w:t>
            </w:r>
          </w:p>
        </w:tc>
        <w:tc>
          <w:tcPr>
            <w:tcW w:w="4310" w:type="dxa"/>
          </w:tcPr>
          <w:p w14:paraId="419B01D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对于评估的异常结果提供直接界面追溯查看数据来源供医护人员人工分析评判</w:t>
            </w:r>
          </w:p>
        </w:tc>
      </w:tr>
      <w:tr w14:paraId="403D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91" w:type="dxa"/>
            <w:vMerge w:val="continue"/>
            <w:shd w:val="clear" w:color="auto" w:fill="auto"/>
            <w:vAlign w:val="center"/>
          </w:tcPr>
          <w:p w14:paraId="737D9A61">
            <w:pPr>
              <w:spacing w:line="240" w:lineRule="auto"/>
              <w:jc w:val="center"/>
              <w:rPr>
                <w:rFonts w:ascii="宋体" w:hAnsi="宋体" w:cs="宋体"/>
                <w:color w:val="000000"/>
                <w:kern w:val="0"/>
                <w:szCs w:val="21"/>
              </w:rPr>
            </w:pPr>
          </w:p>
        </w:tc>
        <w:tc>
          <w:tcPr>
            <w:tcW w:w="1406" w:type="dxa"/>
            <w:vMerge w:val="continue"/>
            <w:vAlign w:val="center"/>
          </w:tcPr>
          <w:p w14:paraId="5C159E8D">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545D1D73">
            <w:pPr>
              <w:widowControl/>
              <w:spacing w:line="240" w:lineRule="auto"/>
              <w:jc w:val="center"/>
              <w:rPr>
                <w:rFonts w:ascii="华文仿宋" w:hAnsi="华文仿宋" w:eastAsia="华文仿宋" w:cs="宋体"/>
                <w:color w:val="000000"/>
                <w:kern w:val="0"/>
                <w:szCs w:val="21"/>
              </w:rPr>
            </w:pPr>
            <w:r>
              <w:rPr>
                <w:rFonts w:ascii="华文仿宋" w:hAnsi="华文仿宋" w:eastAsia="华文仿宋" w:cs="宋体"/>
                <w:color w:val="000000"/>
                <w:kern w:val="0"/>
                <w:szCs w:val="21"/>
              </w:rPr>
              <w:t>查询筛选</w:t>
            </w:r>
          </w:p>
        </w:tc>
        <w:tc>
          <w:tcPr>
            <w:tcW w:w="4310" w:type="dxa"/>
          </w:tcPr>
          <w:p w14:paraId="1758EA0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提供灵活便捷的各类关键词查询筛选功能</w:t>
            </w:r>
          </w:p>
        </w:tc>
      </w:tr>
      <w:tr w14:paraId="1DED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291" w:type="dxa"/>
            <w:vMerge w:val="continue"/>
            <w:shd w:val="clear" w:color="auto" w:fill="auto"/>
            <w:vAlign w:val="center"/>
          </w:tcPr>
          <w:p w14:paraId="531646EE">
            <w:pPr>
              <w:spacing w:line="240" w:lineRule="auto"/>
              <w:jc w:val="center"/>
              <w:rPr>
                <w:rFonts w:ascii="宋体" w:hAnsi="宋体" w:cs="宋体"/>
                <w:color w:val="000000"/>
                <w:kern w:val="0"/>
                <w:szCs w:val="21"/>
              </w:rPr>
            </w:pPr>
          </w:p>
        </w:tc>
        <w:tc>
          <w:tcPr>
            <w:tcW w:w="1406" w:type="dxa"/>
            <w:vMerge w:val="continue"/>
            <w:vAlign w:val="center"/>
          </w:tcPr>
          <w:p w14:paraId="7154898A">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09997D8">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评估结果归档</w:t>
            </w:r>
            <w:r>
              <w:rPr>
                <w:rFonts w:ascii="华文仿宋" w:hAnsi="华文仿宋" w:eastAsia="华文仿宋" w:cs="宋体"/>
                <w:color w:val="000000"/>
                <w:kern w:val="0"/>
                <w:szCs w:val="21"/>
              </w:rPr>
              <w:t>输出</w:t>
            </w:r>
          </w:p>
        </w:tc>
        <w:tc>
          <w:tcPr>
            <w:tcW w:w="4310" w:type="dxa"/>
          </w:tcPr>
          <w:p w14:paraId="0F936E7D">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提供评估结果的无纸化归档功能</w:t>
            </w:r>
          </w:p>
        </w:tc>
      </w:tr>
      <w:tr w14:paraId="23F5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91" w:type="dxa"/>
            <w:vMerge w:val="continue"/>
            <w:shd w:val="clear" w:color="auto" w:fill="auto"/>
            <w:vAlign w:val="center"/>
          </w:tcPr>
          <w:p w14:paraId="657F0E65">
            <w:pPr>
              <w:spacing w:line="240" w:lineRule="auto"/>
              <w:jc w:val="center"/>
              <w:rPr>
                <w:rFonts w:ascii="宋体" w:hAnsi="宋体" w:cs="宋体"/>
                <w:color w:val="000000"/>
                <w:kern w:val="0"/>
                <w:szCs w:val="21"/>
              </w:rPr>
            </w:pPr>
          </w:p>
        </w:tc>
        <w:tc>
          <w:tcPr>
            <w:tcW w:w="1406" w:type="dxa"/>
            <w:vMerge w:val="continue"/>
            <w:vAlign w:val="center"/>
          </w:tcPr>
          <w:p w14:paraId="6985949D">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1A2593C3">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分项数据</w:t>
            </w:r>
            <w:r>
              <w:rPr>
                <w:rFonts w:ascii="华文仿宋" w:hAnsi="华文仿宋" w:eastAsia="华文仿宋" w:cs="宋体"/>
                <w:color w:val="000000"/>
                <w:kern w:val="0"/>
                <w:szCs w:val="21"/>
              </w:rPr>
              <w:t>结果展示</w:t>
            </w:r>
          </w:p>
        </w:tc>
        <w:tc>
          <w:tcPr>
            <w:tcW w:w="4310" w:type="dxa"/>
          </w:tcPr>
          <w:p w14:paraId="005D1FB3">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可提供分时、分段展示全院和科室的各类相关指标</w:t>
            </w:r>
          </w:p>
        </w:tc>
      </w:tr>
      <w:tr w14:paraId="2FE7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91" w:type="dxa"/>
            <w:vMerge w:val="continue"/>
            <w:shd w:val="clear" w:color="auto" w:fill="auto"/>
            <w:vAlign w:val="center"/>
          </w:tcPr>
          <w:p w14:paraId="16BF457B">
            <w:pPr>
              <w:spacing w:line="240" w:lineRule="auto"/>
              <w:jc w:val="center"/>
              <w:rPr>
                <w:rFonts w:ascii="宋体" w:hAnsi="宋体" w:cs="宋体"/>
                <w:color w:val="000000"/>
                <w:kern w:val="0"/>
                <w:szCs w:val="21"/>
              </w:rPr>
            </w:pPr>
          </w:p>
        </w:tc>
        <w:tc>
          <w:tcPr>
            <w:tcW w:w="1406" w:type="dxa"/>
            <w:vMerge w:val="continue"/>
            <w:vAlign w:val="center"/>
          </w:tcPr>
          <w:p w14:paraId="77E89EC0">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39AE3C3">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CA签名</w:t>
            </w:r>
          </w:p>
        </w:tc>
        <w:tc>
          <w:tcPr>
            <w:tcW w:w="4310" w:type="dxa"/>
          </w:tcPr>
          <w:p w14:paraId="37A736B8">
            <w:pPr>
              <w:spacing w:after="120"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支持C</w:t>
            </w:r>
            <w:r>
              <w:rPr>
                <w:rFonts w:ascii="华文仿宋" w:hAnsi="华文仿宋" w:eastAsia="华文仿宋" w:cs="宋体"/>
                <w:color w:val="000000"/>
                <w:kern w:val="0"/>
                <w:szCs w:val="21"/>
              </w:rPr>
              <w:t>A</w:t>
            </w:r>
            <w:r>
              <w:rPr>
                <w:rFonts w:hint="eastAsia" w:ascii="华文仿宋" w:hAnsi="华文仿宋" w:eastAsia="华文仿宋" w:cs="宋体"/>
                <w:color w:val="000000"/>
                <w:kern w:val="0"/>
                <w:szCs w:val="21"/>
              </w:rPr>
              <w:t>签名功能</w:t>
            </w:r>
          </w:p>
        </w:tc>
      </w:tr>
      <w:tr w14:paraId="3180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291" w:type="dxa"/>
            <w:vMerge w:val="continue"/>
            <w:shd w:val="clear" w:color="auto" w:fill="auto"/>
            <w:vAlign w:val="center"/>
          </w:tcPr>
          <w:p w14:paraId="12288AA8">
            <w:pPr>
              <w:spacing w:line="240" w:lineRule="auto"/>
              <w:jc w:val="center"/>
              <w:rPr>
                <w:rFonts w:ascii="宋体" w:hAnsi="宋体" w:cs="宋体"/>
                <w:color w:val="000000"/>
                <w:kern w:val="0"/>
                <w:szCs w:val="21"/>
              </w:rPr>
            </w:pPr>
          </w:p>
        </w:tc>
        <w:tc>
          <w:tcPr>
            <w:tcW w:w="1406" w:type="dxa"/>
            <w:vMerge w:val="restart"/>
            <w:vAlign w:val="center"/>
          </w:tcPr>
          <w:p w14:paraId="3177DCFF">
            <w:pPr>
              <w:widowControl/>
              <w:spacing w:line="240" w:lineRule="auto"/>
              <w:jc w:val="center"/>
              <w:rPr>
                <w:rFonts w:ascii="宋体" w:hAnsi="宋体" w:cs="宋体"/>
                <w:b/>
                <w:color w:val="000000"/>
                <w:kern w:val="0"/>
                <w:szCs w:val="21"/>
              </w:rPr>
            </w:pPr>
          </w:p>
          <w:p w14:paraId="47EFD69E">
            <w:pPr>
              <w:widowControl/>
              <w:spacing w:line="240" w:lineRule="auto"/>
              <w:jc w:val="center"/>
              <w:rPr>
                <w:rFonts w:ascii="宋体" w:hAnsi="宋体" w:cs="宋体"/>
                <w:b/>
                <w:color w:val="000000"/>
                <w:kern w:val="0"/>
                <w:szCs w:val="21"/>
              </w:rPr>
            </w:pPr>
          </w:p>
          <w:p w14:paraId="3DEAE0DB">
            <w:pPr>
              <w:widowControl/>
              <w:spacing w:line="240" w:lineRule="auto"/>
              <w:jc w:val="center"/>
              <w:rPr>
                <w:rFonts w:ascii="宋体" w:hAnsi="宋体" w:cs="宋体"/>
                <w:b/>
                <w:color w:val="000000"/>
                <w:kern w:val="0"/>
                <w:szCs w:val="21"/>
              </w:rPr>
            </w:pPr>
          </w:p>
          <w:p w14:paraId="5353541F">
            <w:pPr>
              <w:widowControl/>
              <w:spacing w:line="240" w:lineRule="auto"/>
              <w:jc w:val="center"/>
              <w:rPr>
                <w:rFonts w:ascii="宋体" w:hAnsi="宋体" w:cs="宋体"/>
                <w:b/>
                <w:color w:val="000000"/>
                <w:kern w:val="0"/>
                <w:szCs w:val="21"/>
              </w:rPr>
            </w:pPr>
          </w:p>
          <w:p w14:paraId="1ECB9341">
            <w:pPr>
              <w:widowControl/>
              <w:spacing w:line="240" w:lineRule="auto"/>
              <w:jc w:val="center"/>
              <w:rPr>
                <w:rFonts w:ascii="宋体" w:hAnsi="宋体" w:cs="宋体"/>
                <w:b/>
                <w:color w:val="000000"/>
                <w:kern w:val="0"/>
                <w:szCs w:val="21"/>
              </w:rPr>
            </w:pPr>
          </w:p>
          <w:p w14:paraId="43C7808C">
            <w:pPr>
              <w:widowControl/>
              <w:spacing w:line="240" w:lineRule="auto"/>
              <w:jc w:val="center"/>
              <w:rPr>
                <w:rFonts w:ascii="宋体" w:hAnsi="宋体" w:cs="宋体"/>
                <w:b/>
                <w:color w:val="000000"/>
                <w:kern w:val="0"/>
                <w:szCs w:val="21"/>
              </w:rPr>
            </w:pPr>
          </w:p>
          <w:p w14:paraId="73BBA59C">
            <w:pPr>
              <w:widowControl/>
              <w:spacing w:line="240" w:lineRule="auto"/>
              <w:jc w:val="center"/>
              <w:rPr>
                <w:rFonts w:ascii="宋体" w:hAnsi="宋体" w:cs="宋体"/>
                <w:b/>
                <w:color w:val="000000"/>
                <w:kern w:val="0"/>
                <w:szCs w:val="21"/>
              </w:rPr>
            </w:pPr>
          </w:p>
          <w:p w14:paraId="49861706">
            <w:pPr>
              <w:widowControl/>
              <w:spacing w:line="240" w:lineRule="auto"/>
              <w:jc w:val="center"/>
              <w:rPr>
                <w:rFonts w:ascii="宋体" w:hAnsi="宋体" w:cs="宋体"/>
                <w:color w:val="000000"/>
                <w:kern w:val="0"/>
                <w:szCs w:val="21"/>
              </w:rPr>
            </w:pPr>
            <w:r>
              <w:rPr>
                <w:rFonts w:hint="eastAsia" w:ascii="宋体" w:hAnsi="宋体" w:cs="宋体"/>
                <w:b/>
                <w:color w:val="000000"/>
                <w:kern w:val="0"/>
                <w:szCs w:val="21"/>
              </w:rPr>
              <w:t>辅助决策模块</w:t>
            </w:r>
          </w:p>
        </w:tc>
        <w:tc>
          <w:tcPr>
            <w:tcW w:w="2543" w:type="dxa"/>
            <w:shd w:val="clear" w:color="auto" w:fill="auto"/>
            <w:vAlign w:val="center"/>
          </w:tcPr>
          <w:p w14:paraId="068B3396">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防治建议</w:t>
            </w:r>
            <w:r>
              <w:rPr>
                <w:rFonts w:ascii="华文仿宋" w:hAnsi="华文仿宋" w:eastAsia="华文仿宋" w:cs="宋体"/>
                <w:color w:val="000000"/>
                <w:kern w:val="0"/>
                <w:szCs w:val="21"/>
              </w:rPr>
              <w:t>及措施</w:t>
            </w:r>
          </w:p>
        </w:tc>
        <w:tc>
          <w:tcPr>
            <w:tcW w:w="4310" w:type="dxa"/>
          </w:tcPr>
          <w:p w14:paraId="3B7A3BE8">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在评估结果界面提供直观可多选的防治建议和治疗措施选项</w:t>
            </w:r>
          </w:p>
        </w:tc>
      </w:tr>
      <w:tr w14:paraId="2EB3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291" w:type="dxa"/>
            <w:vMerge w:val="continue"/>
            <w:shd w:val="clear" w:color="auto" w:fill="auto"/>
            <w:vAlign w:val="center"/>
          </w:tcPr>
          <w:p w14:paraId="13F0C734">
            <w:pPr>
              <w:spacing w:line="240" w:lineRule="auto"/>
              <w:jc w:val="center"/>
              <w:rPr>
                <w:rFonts w:ascii="宋体" w:hAnsi="宋体" w:cs="宋体"/>
                <w:color w:val="000000"/>
                <w:kern w:val="0"/>
                <w:szCs w:val="21"/>
              </w:rPr>
            </w:pPr>
          </w:p>
        </w:tc>
        <w:tc>
          <w:tcPr>
            <w:tcW w:w="1406" w:type="dxa"/>
            <w:vMerge w:val="continue"/>
            <w:vAlign w:val="center"/>
          </w:tcPr>
          <w:p w14:paraId="283E07BA">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5BFB6AB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分级风险</w:t>
            </w:r>
            <w:r>
              <w:rPr>
                <w:rFonts w:ascii="华文仿宋" w:hAnsi="华文仿宋" w:eastAsia="华文仿宋" w:cs="宋体"/>
                <w:color w:val="000000"/>
                <w:kern w:val="0"/>
                <w:szCs w:val="21"/>
              </w:rPr>
              <w:t>提示</w:t>
            </w:r>
          </w:p>
        </w:tc>
        <w:tc>
          <w:tcPr>
            <w:tcW w:w="4310" w:type="dxa"/>
          </w:tcPr>
          <w:p w14:paraId="418FCE6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对于不同病人情况及评估结果提供包括标识提醒，弹窗提醒等分级风险提示功能</w:t>
            </w:r>
          </w:p>
        </w:tc>
      </w:tr>
      <w:tr w14:paraId="0090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291" w:type="dxa"/>
            <w:vMerge w:val="continue"/>
            <w:shd w:val="clear" w:color="auto" w:fill="auto"/>
            <w:vAlign w:val="center"/>
          </w:tcPr>
          <w:p w14:paraId="6373D779">
            <w:pPr>
              <w:spacing w:line="240" w:lineRule="auto"/>
              <w:jc w:val="center"/>
              <w:rPr>
                <w:rFonts w:ascii="宋体" w:hAnsi="宋体" w:cs="宋体"/>
                <w:color w:val="000000"/>
                <w:kern w:val="0"/>
                <w:szCs w:val="21"/>
              </w:rPr>
            </w:pPr>
          </w:p>
        </w:tc>
        <w:tc>
          <w:tcPr>
            <w:tcW w:w="1406" w:type="dxa"/>
            <w:vMerge w:val="continue"/>
            <w:vAlign w:val="center"/>
          </w:tcPr>
          <w:p w14:paraId="38989337">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225C512B">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多环节卡控</w:t>
            </w:r>
            <w:r>
              <w:rPr>
                <w:rFonts w:ascii="华文仿宋" w:hAnsi="华文仿宋" w:eastAsia="华文仿宋" w:cs="宋体"/>
                <w:color w:val="000000"/>
                <w:kern w:val="0"/>
                <w:szCs w:val="21"/>
              </w:rPr>
              <w:t>管理</w:t>
            </w:r>
          </w:p>
        </w:tc>
        <w:tc>
          <w:tcPr>
            <w:tcW w:w="4310" w:type="dxa"/>
          </w:tcPr>
          <w:p w14:paraId="0BCB66E4">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可根据医院管理需求提供多个环节与H</w:t>
            </w:r>
            <w:r>
              <w:rPr>
                <w:rFonts w:ascii="华文仿宋" w:hAnsi="华文仿宋" w:eastAsia="华文仿宋" w:cs="宋体"/>
                <w:color w:val="000000"/>
                <w:kern w:val="0"/>
                <w:szCs w:val="21"/>
              </w:rPr>
              <w:t>IS</w:t>
            </w:r>
            <w:r>
              <w:rPr>
                <w:rFonts w:hint="eastAsia" w:ascii="华文仿宋" w:hAnsi="华文仿宋" w:eastAsia="华文仿宋" w:cs="宋体"/>
                <w:color w:val="000000"/>
                <w:kern w:val="0"/>
                <w:szCs w:val="21"/>
              </w:rPr>
              <w:t>系统等联动的卡控功能，并能够灵活配置</w:t>
            </w:r>
          </w:p>
        </w:tc>
      </w:tr>
      <w:tr w14:paraId="3B32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291" w:type="dxa"/>
            <w:vMerge w:val="continue"/>
            <w:shd w:val="clear" w:color="auto" w:fill="auto"/>
            <w:vAlign w:val="center"/>
          </w:tcPr>
          <w:p w14:paraId="4040637A">
            <w:pPr>
              <w:spacing w:line="240" w:lineRule="auto"/>
              <w:jc w:val="center"/>
              <w:rPr>
                <w:rFonts w:ascii="宋体" w:hAnsi="宋体" w:cs="宋体"/>
                <w:color w:val="000000"/>
                <w:kern w:val="0"/>
                <w:szCs w:val="21"/>
              </w:rPr>
            </w:pPr>
          </w:p>
        </w:tc>
        <w:tc>
          <w:tcPr>
            <w:tcW w:w="1406" w:type="dxa"/>
            <w:vMerge w:val="continue"/>
            <w:vAlign w:val="center"/>
          </w:tcPr>
          <w:p w14:paraId="32C0EFA9">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386A2484">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基础预防建议</w:t>
            </w:r>
          </w:p>
        </w:tc>
        <w:tc>
          <w:tcPr>
            <w:tcW w:w="4310" w:type="dxa"/>
          </w:tcPr>
          <w:p w14:paraId="37E81626">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依据最新指南和研究文献智能化提供基础预防建议选择</w:t>
            </w:r>
          </w:p>
        </w:tc>
      </w:tr>
      <w:tr w14:paraId="0799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291" w:type="dxa"/>
            <w:vMerge w:val="continue"/>
            <w:shd w:val="clear" w:color="auto" w:fill="auto"/>
            <w:vAlign w:val="center"/>
          </w:tcPr>
          <w:p w14:paraId="5A9F2027">
            <w:pPr>
              <w:spacing w:line="240" w:lineRule="auto"/>
              <w:jc w:val="center"/>
              <w:rPr>
                <w:rFonts w:ascii="宋体" w:hAnsi="宋体" w:cs="宋体"/>
                <w:color w:val="000000"/>
                <w:kern w:val="0"/>
                <w:szCs w:val="21"/>
              </w:rPr>
            </w:pPr>
          </w:p>
        </w:tc>
        <w:tc>
          <w:tcPr>
            <w:tcW w:w="1406" w:type="dxa"/>
            <w:vMerge w:val="continue"/>
            <w:vAlign w:val="center"/>
          </w:tcPr>
          <w:p w14:paraId="60266801">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37C17150">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机械</w:t>
            </w:r>
            <w:r>
              <w:rPr>
                <w:rFonts w:ascii="华文仿宋" w:hAnsi="华文仿宋" w:eastAsia="华文仿宋" w:cs="宋体"/>
                <w:color w:val="000000"/>
                <w:kern w:val="0"/>
                <w:szCs w:val="21"/>
              </w:rPr>
              <w:t>预防</w:t>
            </w:r>
            <w:r>
              <w:rPr>
                <w:rFonts w:hint="eastAsia" w:ascii="华文仿宋" w:hAnsi="华文仿宋" w:eastAsia="华文仿宋" w:cs="宋体"/>
                <w:color w:val="000000"/>
                <w:kern w:val="0"/>
                <w:szCs w:val="21"/>
              </w:rPr>
              <w:t>建议</w:t>
            </w:r>
          </w:p>
        </w:tc>
        <w:tc>
          <w:tcPr>
            <w:tcW w:w="4310" w:type="dxa"/>
          </w:tcPr>
          <w:p w14:paraId="5EFC57FC">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依据最新指南和研究文献智能化提供机械预防建议选择</w:t>
            </w:r>
          </w:p>
        </w:tc>
      </w:tr>
      <w:tr w14:paraId="7529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291" w:type="dxa"/>
            <w:vMerge w:val="continue"/>
            <w:shd w:val="clear" w:color="auto" w:fill="auto"/>
            <w:vAlign w:val="center"/>
          </w:tcPr>
          <w:p w14:paraId="3123EEE0">
            <w:pPr>
              <w:spacing w:line="240" w:lineRule="auto"/>
              <w:jc w:val="center"/>
              <w:rPr>
                <w:rFonts w:ascii="宋体" w:hAnsi="宋体" w:cs="宋体"/>
                <w:color w:val="000000"/>
                <w:kern w:val="0"/>
                <w:szCs w:val="21"/>
              </w:rPr>
            </w:pPr>
          </w:p>
        </w:tc>
        <w:tc>
          <w:tcPr>
            <w:tcW w:w="1406" w:type="dxa"/>
            <w:vMerge w:val="continue"/>
            <w:vAlign w:val="center"/>
          </w:tcPr>
          <w:p w14:paraId="502DB248">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1AA04B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机械</w:t>
            </w:r>
            <w:r>
              <w:rPr>
                <w:rFonts w:ascii="华文仿宋" w:hAnsi="华文仿宋" w:eastAsia="华文仿宋" w:cs="宋体"/>
                <w:color w:val="000000"/>
                <w:kern w:val="0"/>
                <w:szCs w:val="21"/>
              </w:rPr>
              <w:t>预防禁忌</w:t>
            </w:r>
          </w:p>
        </w:tc>
        <w:tc>
          <w:tcPr>
            <w:tcW w:w="4310" w:type="dxa"/>
          </w:tcPr>
          <w:p w14:paraId="5B1A067D">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对于机械预防建议中的禁忌提供提醒判断功能</w:t>
            </w:r>
          </w:p>
        </w:tc>
      </w:tr>
      <w:tr w14:paraId="585D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trPr>
        <w:tc>
          <w:tcPr>
            <w:tcW w:w="1291" w:type="dxa"/>
            <w:vMerge w:val="continue"/>
            <w:shd w:val="clear" w:color="auto" w:fill="auto"/>
            <w:vAlign w:val="center"/>
          </w:tcPr>
          <w:p w14:paraId="27875DDB">
            <w:pPr>
              <w:spacing w:line="240" w:lineRule="auto"/>
              <w:jc w:val="center"/>
              <w:rPr>
                <w:rFonts w:ascii="宋体" w:hAnsi="宋体" w:cs="宋体"/>
                <w:color w:val="000000"/>
                <w:kern w:val="0"/>
                <w:szCs w:val="21"/>
              </w:rPr>
            </w:pPr>
          </w:p>
        </w:tc>
        <w:tc>
          <w:tcPr>
            <w:tcW w:w="1406" w:type="dxa"/>
            <w:vMerge w:val="continue"/>
            <w:vAlign w:val="center"/>
          </w:tcPr>
          <w:p w14:paraId="6401988C">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44084EEC">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药物预防建议</w:t>
            </w:r>
          </w:p>
        </w:tc>
        <w:tc>
          <w:tcPr>
            <w:tcW w:w="4310" w:type="dxa"/>
          </w:tcPr>
          <w:p w14:paraId="3C92C69E">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依据最新指南和研究文献智能化提供药物预防建议选择</w:t>
            </w:r>
          </w:p>
        </w:tc>
      </w:tr>
      <w:tr w14:paraId="0CAB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trPr>
        <w:tc>
          <w:tcPr>
            <w:tcW w:w="1291" w:type="dxa"/>
            <w:vMerge w:val="continue"/>
            <w:shd w:val="clear" w:color="auto" w:fill="auto"/>
            <w:vAlign w:val="center"/>
          </w:tcPr>
          <w:p w14:paraId="0EA7C41E">
            <w:pPr>
              <w:spacing w:line="240" w:lineRule="auto"/>
              <w:jc w:val="center"/>
              <w:rPr>
                <w:rFonts w:ascii="宋体" w:hAnsi="宋体" w:cs="宋体"/>
                <w:color w:val="000000"/>
                <w:kern w:val="0"/>
                <w:szCs w:val="21"/>
              </w:rPr>
            </w:pPr>
          </w:p>
        </w:tc>
        <w:tc>
          <w:tcPr>
            <w:tcW w:w="1406" w:type="dxa"/>
            <w:vMerge w:val="continue"/>
            <w:vAlign w:val="center"/>
          </w:tcPr>
          <w:p w14:paraId="72E41A0C">
            <w:pPr>
              <w:widowControl/>
              <w:spacing w:line="240" w:lineRule="auto"/>
              <w:jc w:val="center"/>
              <w:rPr>
                <w:rFonts w:ascii="宋体" w:hAnsi="宋体" w:cs="宋体"/>
                <w:color w:val="000000"/>
                <w:kern w:val="0"/>
                <w:szCs w:val="21"/>
              </w:rPr>
            </w:pPr>
          </w:p>
        </w:tc>
        <w:tc>
          <w:tcPr>
            <w:tcW w:w="2543" w:type="dxa"/>
            <w:shd w:val="clear" w:color="auto" w:fill="auto"/>
          </w:tcPr>
          <w:p w14:paraId="4FA581B2">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辅助决策医嘱一体化</w:t>
            </w:r>
          </w:p>
        </w:tc>
        <w:tc>
          <w:tcPr>
            <w:tcW w:w="4310" w:type="dxa"/>
          </w:tcPr>
          <w:p w14:paraId="38716034">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支持预防建议一键式录入医嘱和导出功能</w:t>
            </w:r>
          </w:p>
        </w:tc>
      </w:tr>
      <w:tr w14:paraId="2E19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trPr>
        <w:tc>
          <w:tcPr>
            <w:tcW w:w="1291" w:type="dxa"/>
            <w:vMerge w:val="continue"/>
            <w:shd w:val="clear" w:color="auto" w:fill="auto"/>
            <w:vAlign w:val="center"/>
          </w:tcPr>
          <w:p w14:paraId="64292CEF">
            <w:pPr>
              <w:spacing w:line="240" w:lineRule="auto"/>
              <w:jc w:val="center"/>
              <w:rPr>
                <w:rFonts w:ascii="宋体" w:hAnsi="宋体" w:cs="宋体"/>
                <w:color w:val="000000"/>
                <w:kern w:val="0"/>
                <w:szCs w:val="21"/>
              </w:rPr>
            </w:pPr>
          </w:p>
        </w:tc>
        <w:tc>
          <w:tcPr>
            <w:tcW w:w="1406" w:type="dxa"/>
            <w:vMerge w:val="continue"/>
            <w:vAlign w:val="center"/>
          </w:tcPr>
          <w:p w14:paraId="2279B5F2">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D2FB699">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专病库</w:t>
            </w:r>
          </w:p>
        </w:tc>
        <w:tc>
          <w:tcPr>
            <w:tcW w:w="4310" w:type="dxa"/>
          </w:tcPr>
          <w:p w14:paraId="6CD6E562">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系统具备VTE专病数据库、VTE专病知识库，能够提供V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防治相关知识库供医护查询学习</w:t>
            </w:r>
          </w:p>
        </w:tc>
      </w:tr>
      <w:tr w14:paraId="4CC6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trPr>
        <w:tc>
          <w:tcPr>
            <w:tcW w:w="1291" w:type="dxa"/>
            <w:vMerge w:val="continue"/>
            <w:shd w:val="clear" w:color="auto" w:fill="auto"/>
            <w:vAlign w:val="center"/>
          </w:tcPr>
          <w:p w14:paraId="107573CB">
            <w:pPr>
              <w:spacing w:line="240" w:lineRule="auto"/>
              <w:jc w:val="center"/>
              <w:rPr>
                <w:rFonts w:ascii="宋体" w:hAnsi="宋体" w:cs="宋体"/>
                <w:color w:val="000000"/>
                <w:kern w:val="0"/>
                <w:szCs w:val="21"/>
              </w:rPr>
            </w:pPr>
          </w:p>
        </w:tc>
        <w:tc>
          <w:tcPr>
            <w:tcW w:w="1406" w:type="dxa"/>
            <w:vMerge w:val="continue"/>
            <w:vAlign w:val="center"/>
          </w:tcPr>
          <w:p w14:paraId="1DB600F9">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6194E77B">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宣教</w:t>
            </w:r>
          </w:p>
        </w:tc>
        <w:tc>
          <w:tcPr>
            <w:tcW w:w="4310" w:type="dxa"/>
          </w:tcPr>
          <w:p w14:paraId="03135E5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VTE宣教模块具有预防VTE教育处方、VTE高危风险告知书、抗凝知情同意书等临床辅助宣教功能；</w:t>
            </w:r>
          </w:p>
        </w:tc>
      </w:tr>
      <w:tr w14:paraId="5AA9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1291" w:type="dxa"/>
            <w:vMerge w:val="continue"/>
            <w:shd w:val="clear" w:color="auto" w:fill="auto"/>
            <w:vAlign w:val="center"/>
          </w:tcPr>
          <w:p w14:paraId="388F1149">
            <w:pPr>
              <w:spacing w:line="240" w:lineRule="auto"/>
              <w:jc w:val="center"/>
              <w:rPr>
                <w:rFonts w:ascii="宋体" w:hAnsi="宋体" w:cs="宋体"/>
                <w:color w:val="000000"/>
                <w:kern w:val="0"/>
                <w:szCs w:val="21"/>
              </w:rPr>
            </w:pPr>
          </w:p>
        </w:tc>
        <w:tc>
          <w:tcPr>
            <w:tcW w:w="1406" w:type="dxa"/>
            <w:vMerge w:val="restart"/>
            <w:vAlign w:val="center"/>
          </w:tcPr>
          <w:p w14:paraId="577A164B">
            <w:pPr>
              <w:widowControl/>
              <w:spacing w:line="240" w:lineRule="auto"/>
              <w:jc w:val="center"/>
              <w:rPr>
                <w:rFonts w:ascii="宋体" w:hAnsi="宋体" w:cs="宋体"/>
                <w:b/>
                <w:color w:val="000000"/>
                <w:kern w:val="0"/>
                <w:szCs w:val="21"/>
              </w:rPr>
            </w:pPr>
            <w:r>
              <w:rPr>
                <w:rFonts w:hint="eastAsia" w:ascii="宋体" w:hAnsi="宋体" w:cs="宋体"/>
                <w:b/>
                <w:color w:val="000000"/>
                <w:kern w:val="0"/>
                <w:szCs w:val="21"/>
              </w:rPr>
              <w:t>会诊转诊模块</w:t>
            </w:r>
          </w:p>
        </w:tc>
        <w:tc>
          <w:tcPr>
            <w:tcW w:w="2543" w:type="dxa"/>
            <w:shd w:val="clear" w:color="auto" w:fill="auto"/>
            <w:vAlign w:val="center"/>
          </w:tcPr>
          <w:p w14:paraId="64781B40">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会诊</w:t>
            </w:r>
            <w:r>
              <w:rPr>
                <w:rFonts w:ascii="华文仿宋" w:hAnsi="华文仿宋" w:eastAsia="华文仿宋" w:cs="宋体"/>
                <w:color w:val="000000"/>
                <w:kern w:val="0"/>
                <w:szCs w:val="21"/>
              </w:rPr>
              <w:t>自动发起</w:t>
            </w:r>
          </w:p>
        </w:tc>
        <w:tc>
          <w:tcPr>
            <w:tcW w:w="4310" w:type="dxa"/>
          </w:tcPr>
          <w:p w14:paraId="09E5B617">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对于定于的部分中高危病人，系统可自动触发会诊申请单发起功能</w:t>
            </w:r>
          </w:p>
        </w:tc>
      </w:tr>
      <w:tr w14:paraId="5587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291" w:type="dxa"/>
            <w:vMerge w:val="continue"/>
            <w:shd w:val="clear" w:color="auto" w:fill="auto"/>
            <w:vAlign w:val="center"/>
          </w:tcPr>
          <w:p w14:paraId="38E6A34F">
            <w:pPr>
              <w:spacing w:line="240" w:lineRule="auto"/>
              <w:jc w:val="center"/>
              <w:rPr>
                <w:rFonts w:ascii="宋体" w:hAnsi="宋体" w:cs="宋体"/>
                <w:color w:val="000000"/>
                <w:kern w:val="0"/>
                <w:szCs w:val="21"/>
              </w:rPr>
            </w:pPr>
          </w:p>
        </w:tc>
        <w:tc>
          <w:tcPr>
            <w:tcW w:w="1406" w:type="dxa"/>
            <w:vMerge w:val="continue"/>
            <w:vAlign w:val="center"/>
          </w:tcPr>
          <w:p w14:paraId="505B8B00">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6749ECF5">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会诊</w:t>
            </w:r>
            <w:r>
              <w:rPr>
                <w:rFonts w:ascii="华文仿宋" w:hAnsi="华文仿宋" w:eastAsia="华文仿宋" w:cs="宋体"/>
                <w:color w:val="000000"/>
                <w:kern w:val="0"/>
                <w:szCs w:val="21"/>
              </w:rPr>
              <w:t>结果归档</w:t>
            </w:r>
          </w:p>
        </w:tc>
        <w:tc>
          <w:tcPr>
            <w:tcW w:w="4310" w:type="dxa"/>
          </w:tcPr>
          <w:p w14:paraId="39DF3C13">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对于会诊结果能实现归档留底功能</w:t>
            </w:r>
          </w:p>
        </w:tc>
      </w:tr>
      <w:tr w14:paraId="7C22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91" w:type="dxa"/>
            <w:vMerge w:val="continue"/>
            <w:shd w:val="clear" w:color="auto" w:fill="auto"/>
            <w:vAlign w:val="center"/>
          </w:tcPr>
          <w:p w14:paraId="0DCD6683">
            <w:pPr>
              <w:spacing w:line="240" w:lineRule="auto"/>
              <w:jc w:val="center"/>
              <w:rPr>
                <w:rFonts w:ascii="宋体" w:hAnsi="宋体" w:cs="宋体"/>
                <w:color w:val="000000"/>
                <w:kern w:val="0"/>
                <w:szCs w:val="21"/>
              </w:rPr>
            </w:pPr>
          </w:p>
        </w:tc>
        <w:tc>
          <w:tcPr>
            <w:tcW w:w="1406" w:type="dxa"/>
            <w:vMerge w:val="restart"/>
            <w:vAlign w:val="center"/>
          </w:tcPr>
          <w:p w14:paraId="42128642">
            <w:pPr>
              <w:widowControl/>
              <w:spacing w:line="240" w:lineRule="auto"/>
              <w:jc w:val="center"/>
              <w:rPr>
                <w:rFonts w:ascii="宋体" w:hAnsi="宋体" w:cs="宋体"/>
                <w:color w:val="000000"/>
                <w:kern w:val="0"/>
                <w:szCs w:val="21"/>
              </w:rPr>
            </w:pPr>
            <w:r>
              <w:rPr>
                <w:rFonts w:hint="eastAsia" w:ascii="宋体" w:hAnsi="宋体" w:cs="宋体"/>
                <w:b/>
                <w:color w:val="000000"/>
                <w:kern w:val="0"/>
                <w:szCs w:val="21"/>
              </w:rPr>
              <w:t>随访管理模块</w:t>
            </w:r>
          </w:p>
        </w:tc>
        <w:tc>
          <w:tcPr>
            <w:tcW w:w="2543" w:type="dxa"/>
            <w:shd w:val="clear" w:color="auto" w:fill="auto"/>
            <w:vAlign w:val="center"/>
          </w:tcPr>
          <w:p w14:paraId="7AA5E15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随访</w:t>
            </w:r>
            <w:r>
              <w:rPr>
                <w:rFonts w:ascii="华文仿宋" w:hAnsi="华文仿宋" w:eastAsia="华文仿宋" w:cs="宋体"/>
                <w:color w:val="000000"/>
                <w:kern w:val="0"/>
                <w:szCs w:val="21"/>
              </w:rPr>
              <w:t>预约</w:t>
            </w:r>
          </w:p>
        </w:tc>
        <w:tc>
          <w:tcPr>
            <w:tcW w:w="4310" w:type="dxa"/>
          </w:tcPr>
          <w:p w14:paraId="76BB1083">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可根据政策的要求安排随访计划进行提前预约</w:t>
            </w:r>
          </w:p>
        </w:tc>
      </w:tr>
      <w:tr w14:paraId="6D62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291" w:type="dxa"/>
            <w:vMerge w:val="continue"/>
            <w:shd w:val="clear" w:color="auto" w:fill="auto"/>
            <w:vAlign w:val="center"/>
          </w:tcPr>
          <w:p w14:paraId="55C04BCC">
            <w:pPr>
              <w:spacing w:line="240" w:lineRule="auto"/>
              <w:jc w:val="center"/>
              <w:rPr>
                <w:rFonts w:ascii="宋体" w:hAnsi="宋体" w:cs="宋体"/>
                <w:color w:val="000000"/>
                <w:kern w:val="0"/>
                <w:szCs w:val="21"/>
              </w:rPr>
            </w:pPr>
          </w:p>
        </w:tc>
        <w:tc>
          <w:tcPr>
            <w:tcW w:w="1406" w:type="dxa"/>
            <w:vMerge w:val="continue"/>
            <w:vAlign w:val="center"/>
          </w:tcPr>
          <w:p w14:paraId="7895BD3D">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346A6C50">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随访</w:t>
            </w:r>
            <w:r>
              <w:rPr>
                <w:rFonts w:ascii="华文仿宋" w:hAnsi="华文仿宋" w:eastAsia="华文仿宋" w:cs="宋体"/>
                <w:color w:val="000000"/>
                <w:kern w:val="0"/>
                <w:szCs w:val="21"/>
              </w:rPr>
              <w:t>提醒</w:t>
            </w:r>
          </w:p>
        </w:tc>
        <w:tc>
          <w:tcPr>
            <w:tcW w:w="4310" w:type="dxa"/>
          </w:tcPr>
          <w:p w14:paraId="1291D4D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可根据政策的要求对于需要随访的病人通过医院的信息平台提供多时间点的自动提醒功能</w:t>
            </w:r>
          </w:p>
        </w:tc>
      </w:tr>
      <w:tr w14:paraId="21B4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291" w:type="dxa"/>
            <w:vMerge w:val="continue"/>
            <w:shd w:val="clear" w:color="auto" w:fill="auto"/>
            <w:vAlign w:val="center"/>
          </w:tcPr>
          <w:p w14:paraId="274C6F6D">
            <w:pPr>
              <w:spacing w:line="240" w:lineRule="auto"/>
              <w:jc w:val="center"/>
              <w:rPr>
                <w:rFonts w:ascii="宋体" w:hAnsi="宋体" w:cs="宋体"/>
                <w:color w:val="000000"/>
                <w:kern w:val="0"/>
                <w:szCs w:val="21"/>
              </w:rPr>
            </w:pPr>
          </w:p>
        </w:tc>
        <w:tc>
          <w:tcPr>
            <w:tcW w:w="1406" w:type="dxa"/>
            <w:vMerge w:val="continue"/>
            <w:vAlign w:val="center"/>
          </w:tcPr>
          <w:p w14:paraId="0DDC045A">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5751AAE5">
            <w:pPr>
              <w:widowControl/>
              <w:spacing w:line="240" w:lineRule="auto"/>
              <w:jc w:val="center"/>
              <w:rPr>
                <w:rFonts w:ascii="华文仿宋" w:hAnsi="华文仿宋" w:eastAsia="华文仿宋" w:cs="仿宋"/>
                <w:szCs w:val="21"/>
              </w:rPr>
            </w:pPr>
            <w:r>
              <w:rPr>
                <w:rFonts w:hint="eastAsia" w:ascii="华文仿宋" w:hAnsi="华文仿宋" w:eastAsia="华文仿宋" w:cs="仿宋"/>
                <w:szCs w:val="21"/>
              </w:rPr>
              <w:t>居家随访管理</w:t>
            </w:r>
          </w:p>
        </w:tc>
        <w:tc>
          <w:tcPr>
            <w:tcW w:w="4310" w:type="dxa"/>
          </w:tcPr>
          <w:p w14:paraId="255D8649">
            <w:pPr>
              <w:widowControl/>
              <w:spacing w:line="240" w:lineRule="auto"/>
              <w:jc w:val="center"/>
              <w:rPr>
                <w:rFonts w:ascii="华文仿宋" w:hAnsi="华文仿宋" w:eastAsia="华文仿宋" w:cs="仿宋"/>
                <w:szCs w:val="21"/>
              </w:rPr>
            </w:pPr>
            <w:r>
              <w:rPr>
                <w:rFonts w:hint="eastAsia" w:ascii="华文仿宋" w:hAnsi="华文仿宋" w:eastAsia="华文仿宋" w:cs="仿宋"/>
                <w:szCs w:val="21"/>
              </w:rPr>
              <w:t>提供客户端供居家康复的病人根据随访提醒完成相关的随访问卷，并定期导入随访模块中，数据符合项目办对于随访记录的要求</w:t>
            </w:r>
          </w:p>
        </w:tc>
      </w:tr>
      <w:tr w14:paraId="289F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1291" w:type="dxa"/>
            <w:vMerge w:val="continue"/>
            <w:shd w:val="clear" w:color="auto" w:fill="auto"/>
            <w:vAlign w:val="center"/>
          </w:tcPr>
          <w:p w14:paraId="24DF83E4">
            <w:pPr>
              <w:spacing w:line="240" w:lineRule="auto"/>
              <w:jc w:val="center"/>
              <w:rPr>
                <w:rFonts w:ascii="宋体" w:hAnsi="宋体" w:cs="宋体"/>
                <w:color w:val="000000"/>
                <w:kern w:val="0"/>
                <w:szCs w:val="21"/>
              </w:rPr>
            </w:pPr>
          </w:p>
        </w:tc>
        <w:tc>
          <w:tcPr>
            <w:tcW w:w="1406" w:type="dxa"/>
            <w:vMerge w:val="continue"/>
            <w:vAlign w:val="center"/>
          </w:tcPr>
          <w:p w14:paraId="2925B802">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5D7324F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随访</w:t>
            </w:r>
            <w:r>
              <w:rPr>
                <w:rFonts w:ascii="华文仿宋" w:hAnsi="华文仿宋" w:eastAsia="华文仿宋" w:cs="宋体"/>
                <w:color w:val="000000"/>
                <w:kern w:val="0"/>
                <w:szCs w:val="21"/>
              </w:rPr>
              <w:t>列表</w:t>
            </w:r>
          </w:p>
        </w:tc>
        <w:tc>
          <w:tcPr>
            <w:tcW w:w="4310" w:type="dxa"/>
          </w:tcPr>
          <w:p w14:paraId="02F371F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对不同情况病人随访情况进行查询管理，按病种对应不同的居家康复报告，合并疾病、出院带药、检验检查信息等信息自动抓取和填充，减少医护工作量</w:t>
            </w:r>
          </w:p>
        </w:tc>
      </w:tr>
      <w:tr w14:paraId="29F4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tcPr>
          <w:p w14:paraId="017373AE">
            <w:pPr>
              <w:spacing w:line="240" w:lineRule="auto"/>
              <w:jc w:val="center"/>
              <w:rPr>
                <w:rFonts w:ascii="宋体" w:hAnsi="宋体" w:cs="宋体"/>
                <w:color w:val="000000"/>
                <w:kern w:val="0"/>
                <w:szCs w:val="21"/>
              </w:rPr>
            </w:pPr>
          </w:p>
        </w:tc>
        <w:tc>
          <w:tcPr>
            <w:tcW w:w="1406" w:type="dxa"/>
            <w:vMerge w:val="restart"/>
            <w:vAlign w:val="center"/>
          </w:tcPr>
          <w:p w14:paraId="417495A7">
            <w:pPr>
              <w:widowControl/>
              <w:spacing w:line="240" w:lineRule="auto"/>
              <w:jc w:val="center"/>
              <w:rPr>
                <w:rFonts w:ascii="宋体" w:hAnsi="宋体" w:cs="宋体"/>
                <w:b/>
                <w:color w:val="000000"/>
                <w:kern w:val="0"/>
                <w:szCs w:val="21"/>
              </w:rPr>
            </w:pPr>
          </w:p>
          <w:p w14:paraId="5BEF694B">
            <w:pPr>
              <w:widowControl/>
              <w:spacing w:line="240" w:lineRule="auto"/>
              <w:jc w:val="center"/>
              <w:rPr>
                <w:rFonts w:ascii="宋体" w:hAnsi="宋体" w:cs="宋体"/>
                <w:b/>
                <w:color w:val="000000"/>
                <w:kern w:val="0"/>
                <w:szCs w:val="21"/>
              </w:rPr>
            </w:pPr>
          </w:p>
          <w:p w14:paraId="61319C89">
            <w:pPr>
              <w:widowControl/>
              <w:spacing w:line="240" w:lineRule="auto"/>
              <w:jc w:val="center"/>
              <w:rPr>
                <w:rFonts w:ascii="宋体" w:hAnsi="宋体" w:cs="宋体"/>
                <w:b/>
                <w:color w:val="000000"/>
                <w:kern w:val="0"/>
                <w:szCs w:val="21"/>
              </w:rPr>
            </w:pPr>
          </w:p>
          <w:p w14:paraId="791698B0">
            <w:pPr>
              <w:widowControl/>
              <w:spacing w:line="240" w:lineRule="auto"/>
              <w:jc w:val="center"/>
              <w:rPr>
                <w:rFonts w:ascii="宋体" w:hAnsi="宋体" w:cs="宋体"/>
                <w:b/>
                <w:color w:val="000000"/>
                <w:kern w:val="0"/>
                <w:szCs w:val="21"/>
              </w:rPr>
            </w:pPr>
          </w:p>
          <w:p w14:paraId="62900C3B">
            <w:pPr>
              <w:widowControl/>
              <w:spacing w:line="240" w:lineRule="auto"/>
              <w:jc w:val="center"/>
              <w:rPr>
                <w:rFonts w:ascii="宋体" w:hAnsi="宋体" w:cs="宋体"/>
                <w:b/>
                <w:color w:val="000000"/>
                <w:kern w:val="0"/>
                <w:szCs w:val="21"/>
              </w:rPr>
            </w:pPr>
          </w:p>
          <w:p w14:paraId="44CA3749">
            <w:pPr>
              <w:widowControl/>
              <w:spacing w:line="240" w:lineRule="auto"/>
              <w:jc w:val="center"/>
              <w:rPr>
                <w:rFonts w:ascii="宋体" w:hAnsi="宋体" w:cs="宋体"/>
                <w:b/>
                <w:color w:val="000000"/>
                <w:kern w:val="0"/>
                <w:szCs w:val="21"/>
              </w:rPr>
            </w:pPr>
          </w:p>
          <w:p w14:paraId="4A13BD0E">
            <w:pPr>
              <w:widowControl/>
              <w:spacing w:line="240" w:lineRule="auto"/>
              <w:jc w:val="center"/>
              <w:rPr>
                <w:rFonts w:ascii="宋体" w:hAnsi="宋体" w:cs="宋体"/>
                <w:b/>
                <w:color w:val="000000"/>
                <w:kern w:val="0"/>
                <w:szCs w:val="21"/>
              </w:rPr>
            </w:pPr>
          </w:p>
          <w:p w14:paraId="5130DD91">
            <w:pPr>
              <w:widowControl/>
              <w:spacing w:line="240" w:lineRule="auto"/>
              <w:jc w:val="center"/>
              <w:rPr>
                <w:rFonts w:ascii="宋体" w:hAnsi="宋体" w:cs="宋体"/>
                <w:b/>
                <w:color w:val="000000"/>
                <w:kern w:val="0"/>
                <w:szCs w:val="21"/>
              </w:rPr>
            </w:pPr>
          </w:p>
          <w:p w14:paraId="4FEB116E">
            <w:pPr>
              <w:widowControl/>
              <w:spacing w:line="240" w:lineRule="auto"/>
              <w:jc w:val="center"/>
              <w:rPr>
                <w:rFonts w:ascii="宋体" w:hAnsi="宋体" w:cs="宋体"/>
                <w:b/>
                <w:color w:val="000000"/>
                <w:kern w:val="0"/>
                <w:szCs w:val="21"/>
              </w:rPr>
            </w:pPr>
            <w:r>
              <w:rPr>
                <w:rFonts w:hint="eastAsia" w:ascii="宋体" w:hAnsi="宋体" w:cs="宋体"/>
                <w:b/>
                <w:color w:val="000000"/>
                <w:kern w:val="0"/>
                <w:szCs w:val="21"/>
              </w:rPr>
              <w:t>大数据质控模块</w:t>
            </w:r>
          </w:p>
          <w:p w14:paraId="4DCE4FB8">
            <w:pPr>
              <w:widowControl/>
              <w:spacing w:before="240" w:line="240" w:lineRule="auto"/>
              <w:jc w:val="center"/>
              <w:rPr>
                <w:rFonts w:ascii="宋体" w:hAnsi="宋体" w:cs="宋体"/>
                <w:color w:val="000000"/>
                <w:kern w:val="0"/>
                <w:szCs w:val="21"/>
              </w:rPr>
            </w:pPr>
            <w:r>
              <w:rPr>
                <w:rFonts w:hint="eastAsia" w:ascii="宋体" w:hAnsi="宋体" w:cs="宋体"/>
                <w:color w:val="000000"/>
                <w:kern w:val="0"/>
                <w:szCs w:val="21"/>
              </w:rPr>
              <w:t>（指标</w:t>
            </w:r>
            <w:r>
              <w:rPr>
                <w:rFonts w:ascii="宋体" w:hAnsi="宋体" w:cs="宋体"/>
                <w:color w:val="000000"/>
                <w:kern w:val="0"/>
                <w:szCs w:val="21"/>
              </w:rPr>
              <w:t>满足</w:t>
            </w:r>
            <w:r>
              <w:rPr>
                <w:rFonts w:hint="eastAsia" w:ascii="宋体" w:hAnsi="宋体" w:cs="宋体"/>
                <w:color w:val="000000"/>
                <w:kern w:val="0"/>
                <w:szCs w:val="21"/>
              </w:rPr>
              <w:t>《医院内静脉血栓栓塞症防治质量评价与管理建议（2022版）》中的质量控制要求）</w:t>
            </w:r>
          </w:p>
        </w:tc>
        <w:tc>
          <w:tcPr>
            <w:tcW w:w="2543" w:type="dxa"/>
            <w:shd w:val="clear" w:color="auto" w:fill="auto"/>
            <w:vAlign w:val="center"/>
          </w:tcPr>
          <w:p w14:paraId="658261D6">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w:t>
            </w:r>
            <w:r>
              <w:rPr>
                <w:rFonts w:ascii="华文仿宋" w:hAnsi="华文仿宋" w:eastAsia="华文仿宋" w:cs="宋体"/>
                <w:color w:val="000000"/>
                <w:kern w:val="0"/>
                <w:szCs w:val="21"/>
              </w:rPr>
              <w:t>TE运营指标分析</w:t>
            </w:r>
          </w:p>
        </w:tc>
        <w:tc>
          <w:tcPr>
            <w:tcW w:w="4310" w:type="dxa"/>
          </w:tcPr>
          <w:p w14:paraId="1D5C1FBE">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分时分段展示全院和科室的VTE住院患者分布分析，住院费用分析，平均住院天数分析等运营指标，可速览同期同比和目标值/预设警戒值</w:t>
            </w:r>
          </w:p>
        </w:tc>
      </w:tr>
      <w:tr w14:paraId="2F73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tcPr>
          <w:p w14:paraId="1C56A40A">
            <w:pPr>
              <w:spacing w:line="240" w:lineRule="auto"/>
              <w:jc w:val="center"/>
              <w:rPr>
                <w:rFonts w:ascii="宋体" w:hAnsi="宋体" w:cs="宋体"/>
                <w:color w:val="000000"/>
                <w:kern w:val="0"/>
                <w:szCs w:val="21"/>
              </w:rPr>
            </w:pPr>
          </w:p>
        </w:tc>
        <w:tc>
          <w:tcPr>
            <w:tcW w:w="1406" w:type="dxa"/>
            <w:vMerge w:val="continue"/>
            <w:vAlign w:val="center"/>
          </w:tcPr>
          <w:p w14:paraId="726A67C9">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3D01C96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w:t>
            </w:r>
            <w:r>
              <w:rPr>
                <w:rFonts w:ascii="华文仿宋" w:hAnsi="华文仿宋" w:eastAsia="华文仿宋" w:cs="宋体"/>
                <w:color w:val="000000"/>
                <w:kern w:val="0"/>
                <w:szCs w:val="21"/>
              </w:rPr>
              <w:t>TE评估</w:t>
            </w:r>
            <w:r>
              <w:rPr>
                <w:rFonts w:hint="eastAsia" w:ascii="华文仿宋" w:hAnsi="华文仿宋" w:eastAsia="华文仿宋" w:cs="宋体"/>
                <w:color w:val="000000"/>
                <w:kern w:val="0"/>
                <w:szCs w:val="21"/>
              </w:rPr>
              <w:t>质量指标</w:t>
            </w:r>
          </w:p>
        </w:tc>
        <w:tc>
          <w:tcPr>
            <w:tcW w:w="4310" w:type="dxa"/>
          </w:tcPr>
          <w:p w14:paraId="07CC2A7B">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分时分段展示全院和科室的VTE风险评估率（入院后，手术前，手术后，转科后，出院前）VTE中高风险比例</w:t>
            </w:r>
          </w:p>
          <w:p w14:paraId="64B39267">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出血风险评估率（入院后，手术前，手术后，转科后，出院前）出血高风险比例</w:t>
            </w:r>
          </w:p>
        </w:tc>
      </w:tr>
      <w:tr w14:paraId="5B11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tcPr>
          <w:p w14:paraId="6CFC425D">
            <w:pPr>
              <w:spacing w:line="240" w:lineRule="auto"/>
              <w:jc w:val="center"/>
              <w:rPr>
                <w:rFonts w:ascii="宋体" w:hAnsi="宋体" w:cs="宋体"/>
                <w:color w:val="000000"/>
                <w:kern w:val="0"/>
                <w:szCs w:val="21"/>
              </w:rPr>
            </w:pPr>
          </w:p>
        </w:tc>
        <w:tc>
          <w:tcPr>
            <w:tcW w:w="1406" w:type="dxa"/>
            <w:vMerge w:val="continue"/>
            <w:vAlign w:val="center"/>
          </w:tcPr>
          <w:p w14:paraId="4EB0E991">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BA92D0E">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预防质量指标</w:t>
            </w:r>
          </w:p>
        </w:tc>
        <w:tc>
          <w:tcPr>
            <w:tcW w:w="4310" w:type="dxa"/>
          </w:tcPr>
          <w:p w14:paraId="1FEDF98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分时分段展示全院和科室的药物预防实施率（入院后，手术前，手术后，手术后、转科后，出院医嘱带抗凝药物比例、机械预防实施率（入院后，手术前，手术中，</w:t>
            </w:r>
          </w:p>
          <w:p w14:paraId="742F9EE8">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手术后、转科后）</w:t>
            </w:r>
          </w:p>
          <w:p w14:paraId="12D0DDCC">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联合预防实施率（入院后，手术前，手术后，手术后、转科后）</w:t>
            </w:r>
          </w:p>
        </w:tc>
      </w:tr>
      <w:tr w14:paraId="252F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tcPr>
          <w:p w14:paraId="12A02A50">
            <w:pPr>
              <w:spacing w:line="240" w:lineRule="auto"/>
              <w:jc w:val="center"/>
              <w:rPr>
                <w:rFonts w:ascii="宋体" w:hAnsi="宋体" w:cs="宋体"/>
                <w:color w:val="000000"/>
                <w:kern w:val="0"/>
                <w:szCs w:val="21"/>
              </w:rPr>
            </w:pPr>
          </w:p>
        </w:tc>
        <w:tc>
          <w:tcPr>
            <w:tcW w:w="1406" w:type="dxa"/>
            <w:vMerge w:val="continue"/>
            <w:vAlign w:val="center"/>
          </w:tcPr>
          <w:p w14:paraId="48384666">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5FE9AE0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结局质量</w:t>
            </w:r>
            <w:r>
              <w:rPr>
                <w:rFonts w:ascii="华文仿宋" w:hAnsi="华文仿宋" w:eastAsia="华文仿宋" w:cs="宋体"/>
                <w:color w:val="000000"/>
                <w:kern w:val="0"/>
                <w:szCs w:val="21"/>
              </w:rPr>
              <w:t>指标</w:t>
            </w:r>
          </w:p>
        </w:tc>
        <w:tc>
          <w:tcPr>
            <w:tcW w:w="4310" w:type="dxa"/>
          </w:tcPr>
          <w:p w14:paraId="7C0EA6CA">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分时分段展示全院和科室的VTE检出率相关</w:t>
            </w:r>
          </w:p>
          <w:p w14:paraId="43631CD2">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VTE治疗率相关</w:t>
            </w:r>
          </w:p>
          <w:p w14:paraId="4C9312E3">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出血事件发生率</w:t>
            </w:r>
          </w:p>
          <w:p w14:paraId="6A60356F">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VTE相关死亡率</w:t>
            </w:r>
          </w:p>
        </w:tc>
      </w:tr>
      <w:tr w14:paraId="7E22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291" w:type="dxa"/>
            <w:vMerge w:val="continue"/>
          </w:tcPr>
          <w:p w14:paraId="30051A39">
            <w:pPr>
              <w:spacing w:line="240" w:lineRule="auto"/>
              <w:jc w:val="center"/>
              <w:rPr>
                <w:rFonts w:ascii="宋体" w:hAnsi="宋体" w:cs="宋体"/>
                <w:color w:val="000000"/>
                <w:kern w:val="0"/>
                <w:szCs w:val="21"/>
              </w:rPr>
            </w:pPr>
          </w:p>
        </w:tc>
        <w:tc>
          <w:tcPr>
            <w:tcW w:w="1406" w:type="dxa"/>
            <w:vMerge w:val="continue"/>
            <w:vAlign w:val="center"/>
          </w:tcPr>
          <w:p w14:paraId="6C2F5F7C">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37B7DC10">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不良事件指标</w:t>
            </w:r>
          </w:p>
        </w:tc>
        <w:tc>
          <w:tcPr>
            <w:tcW w:w="4310" w:type="dxa"/>
          </w:tcPr>
          <w:p w14:paraId="75C51A5E">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支持各类型V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不良事件指标汇总</w:t>
            </w:r>
          </w:p>
        </w:tc>
      </w:tr>
      <w:tr w14:paraId="339B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tcPr>
          <w:p w14:paraId="55F5E233">
            <w:pPr>
              <w:spacing w:line="240" w:lineRule="auto"/>
              <w:jc w:val="center"/>
              <w:rPr>
                <w:rFonts w:ascii="宋体" w:hAnsi="宋体" w:cs="宋体"/>
                <w:color w:val="000000"/>
                <w:kern w:val="0"/>
                <w:szCs w:val="21"/>
              </w:rPr>
            </w:pPr>
          </w:p>
        </w:tc>
        <w:tc>
          <w:tcPr>
            <w:tcW w:w="1406" w:type="dxa"/>
            <w:vMerge w:val="continue"/>
            <w:vAlign w:val="center"/>
          </w:tcPr>
          <w:p w14:paraId="58280828">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262C486B">
            <w:pPr>
              <w:widowControl/>
              <w:spacing w:line="240" w:lineRule="auto"/>
              <w:jc w:val="center"/>
              <w:rPr>
                <w:rFonts w:ascii="华文仿宋" w:hAnsi="华文仿宋" w:eastAsia="华文仿宋" w:cs="宋体"/>
                <w:color w:val="000000"/>
                <w:kern w:val="0"/>
                <w:szCs w:val="21"/>
              </w:rPr>
            </w:pPr>
            <w:r>
              <w:rPr>
                <w:rFonts w:ascii="华文仿宋" w:hAnsi="华文仿宋" w:eastAsia="华文仿宋" w:cs="宋体"/>
                <w:color w:val="000000"/>
                <w:kern w:val="0"/>
                <w:szCs w:val="21"/>
              </w:rPr>
              <w:t>VTE</w:t>
            </w:r>
            <w:r>
              <w:rPr>
                <w:rFonts w:hint="eastAsia" w:ascii="华文仿宋" w:hAnsi="华文仿宋" w:eastAsia="华文仿宋" w:cs="宋体"/>
                <w:color w:val="000000"/>
                <w:kern w:val="0"/>
                <w:szCs w:val="21"/>
              </w:rPr>
              <w:t>过程质量指标</w:t>
            </w:r>
          </w:p>
        </w:tc>
        <w:tc>
          <w:tcPr>
            <w:tcW w:w="4310" w:type="dxa"/>
          </w:tcPr>
          <w:p w14:paraId="38440032">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统计全院和各个科室汇总V</w:t>
            </w:r>
            <w:r>
              <w:rPr>
                <w:rFonts w:ascii="华文仿宋" w:hAnsi="华文仿宋" w:eastAsia="华文仿宋" w:cs="宋体"/>
                <w:color w:val="000000"/>
                <w:kern w:val="0"/>
                <w:szCs w:val="21"/>
              </w:rPr>
              <w:t>TE</w:t>
            </w:r>
            <w:r>
              <w:rPr>
                <w:rFonts w:hint="eastAsia" w:ascii="华文仿宋" w:hAnsi="华文仿宋" w:eastAsia="华文仿宋" w:cs="宋体"/>
                <w:color w:val="000000"/>
                <w:kern w:val="0"/>
                <w:szCs w:val="21"/>
              </w:rPr>
              <w:t>防治过程中的各类质量指标</w:t>
            </w:r>
          </w:p>
        </w:tc>
      </w:tr>
      <w:tr w14:paraId="74CA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291" w:type="dxa"/>
            <w:vMerge w:val="continue"/>
          </w:tcPr>
          <w:p w14:paraId="1B7571F5">
            <w:pPr>
              <w:spacing w:line="240" w:lineRule="auto"/>
              <w:jc w:val="center"/>
              <w:rPr>
                <w:rFonts w:ascii="宋体" w:hAnsi="宋体" w:cs="宋体"/>
                <w:color w:val="000000"/>
                <w:kern w:val="0"/>
                <w:szCs w:val="21"/>
              </w:rPr>
            </w:pPr>
          </w:p>
        </w:tc>
        <w:tc>
          <w:tcPr>
            <w:tcW w:w="1406" w:type="dxa"/>
            <w:vMerge w:val="continue"/>
            <w:vAlign w:val="center"/>
          </w:tcPr>
          <w:p w14:paraId="302054BE">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594270F9">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患者画像分析</w:t>
            </w:r>
          </w:p>
        </w:tc>
        <w:tc>
          <w:tcPr>
            <w:tcW w:w="4310" w:type="dxa"/>
          </w:tcPr>
          <w:p w14:paraId="4BCBFE1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根据最新指南和政策文件及医院的实际需求，具备患者画像功能和分时分段展示全院和科室的患者相关分析指标</w:t>
            </w:r>
          </w:p>
        </w:tc>
      </w:tr>
      <w:tr w14:paraId="64E4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291" w:type="dxa"/>
            <w:vMerge w:val="continue"/>
          </w:tcPr>
          <w:p w14:paraId="5351E46C">
            <w:pPr>
              <w:spacing w:line="240" w:lineRule="auto"/>
              <w:jc w:val="center"/>
              <w:rPr>
                <w:rFonts w:ascii="宋体" w:hAnsi="宋体" w:cs="宋体"/>
                <w:color w:val="000000"/>
                <w:kern w:val="0"/>
                <w:szCs w:val="21"/>
              </w:rPr>
            </w:pPr>
          </w:p>
        </w:tc>
        <w:tc>
          <w:tcPr>
            <w:tcW w:w="1406" w:type="dxa"/>
            <w:vMerge w:val="continue"/>
            <w:vAlign w:val="center"/>
          </w:tcPr>
          <w:p w14:paraId="5BA007AF">
            <w:pPr>
              <w:widowControl/>
              <w:spacing w:line="240" w:lineRule="auto"/>
              <w:jc w:val="center"/>
              <w:rPr>
                <w:rFonts w:ascii="宋体" w:hAnsi="宋体" w:cs="宋体"/>
                <w:color w:val="000000"/>
                <w:kern w:val="0"/>
                <w:szCs w:val="21"/>
              </w:rPr>
            </w:pPr>
          </w:p>
        </w:tc>
        <w:tc>
          <w:tcPr>
            <w:tcW w:w="2543" w:type="dxa"/>
            <w:shd w:val="clear" w:color="auto" w:fill="auto"/>
            <w:vAlign w:val="center"/>
          </w:tcPr>
          <w:p w14:paraId="01F2D14C">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会诊随访</w:t>
            </w:r>
            <w:r>
              <w:rPr>
                <w:rFonts w:ascii="华文仿宋" w:hAnsi="华文仿宋" w:eastAsia="华文仿宋" w:cs="宋体"/>
                <w:color w:val="000000"/>
                <w:kern w:val="0"/>
                <w:szCs w:val="21"/>
              </w:rPr>
              <w:t>指标分析</w:t>
            </w:r>
          </w:p>
        </w:tc>
        <w:tc>
          <w:tcPr>
            <w:tcW w:w="4310" w:type="dxa"/>
          </w:tcPr>
          <w:p w14:paraId="1B3CD6F1">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根据最新指南和政策文件及医院的实际需求，具备会诊随访相关分析指标，分时分段展示全院和科室的包括会诊率，会诊反馈率，会诊完成率，随访率等</w:t>
            </w:r>
          </w:p>
        </w:tc>
      </w:tr>
      <w:tr w14:paraId="1C6A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291" w:type="dxa"/>
            <w:vMerge w:val="continue"/>
          </w:tcPr>
          <w:p w14:paraId="25CD0475">
            <w:pPr>
              <w:spacing w:line="240" w:lineRule="auto"/>
              <w:jc w:val="center"/>
              <w:rPr>
                <w:rFonts w:ascii="宋体" w:hAnsi="宋体" w:cs="宋体"/>
                <w:color w:val="000000"/>
                <w:kern w:val="0"/>
                <w:szCs w:val="21"/>
              </w:rPr>
            </w:pPr>
          </w:p>
        </w:tc>
        <w:tc>
          <w:tcPr>
            <w:tcW w:w="1406" w:type="dxa"/>
            <w:vAlign w:val="center"/>
          </w:tcPr>
          <w:p w14:paraId="6BB803EE">
            <w:pPr>
              <w:widowControl/>
              <w:spacing w:line="240" w:lineRule="auto"/>
              <w:jc w:val="center"/>
              <w:rPr>
                <w:rFonts w:ascii="宋体" w:hAnsi="宋体" w:cs="宋体"/>
                <w:b/>
                <w:color w:val="000000"/>
                <w:kern w:val="0"/>
                <w:szCs w:val="21"/>
              </w:rPr>
            </w:pPr>
            <w:r>
              <w:rPr>
                <w:rFonts w:hint="eastAsia" w:ascii="Times New Roman" w:hAnsi="Times New Roman"/>
                <w:b/>
              </w:rPr>
              <w:t>评审数据上报模块</w:t>
            </w:r>
          </w:p>
        </w:tc>
        <w:tc>
          <w:tcPr>
            <w:tcW w:w="2543" w:type="dxa"/>
            <w:shd w:val="clear" w:color="auto" w:fill="auto"/>
            <w:vAlign w:val="center"/>
          </w:tcPr>
          <w:p w14:paraId="34E638AF">
            <w:pPr>
              <w:widowControl/>
              <w:spacing w:line="240" w:lineRule="auto"/>
              <w:jc w:val="left"/>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VTE相关单病种上报汇总</w:t>
            </w:r>
          </w:p>
          <w:p w14:paraId="24ED0FE9">
            <w:pPr>
              <w:pStyle w:val="2"/>
              <w:rPr>
                <w:rFonts w:hint="eastAsia"/>
              </w:rPr>
            </w:pPr>
          </w:p>
          <w:p w14:paraId="4E07FC0D">
            <w:pPr>
              <w:widowControl/>
              <w:spacing w:line="240" w:lineRule="auto"/>
              <w:jc w:val="left"/>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VTE项目办上报汇总</w:t>
            </w:r>
          </w:p>
          <w:p w14:paraId="75E6C204">
            <w:pPr>
              <w:pStyle w:val="2"/>
              <w:rPr>
                <w:rFonts w:hint="eastAsia"/>
              </w:rPr>
            </w:pPr>
          </w:p>
          <w:p w14:paraId="10270641">
            <w:pPr>
              <w:spacing w:after="120" w:line="240" w:lineRule="auto"/>
              <w:jc w:val="left"/>
              <w:rPr>
                <w:rFonts w:ascii="华文仿宋" w:hAnsi="华文仿宋" w:eastAsia="华文仿宋" w:cs="宋体"/>
                <w:color w:val="000000"/>
                <w:kern w:val="0"/>
                <w:szCs w:val="21"/>
              </w:rPr>
            </w:pPr>
            <w:r>
              <w:rPr>
                <w:rFonts w:ascii="华文仿宋" w:hAnsi="华文仿宋" w:eastAsia="华文仿宋" w:cs="宋体"/>
                <w:color w:val="000000"/>
                <w:kern w:val="0"/>
                <w:szCs w:val="21"/>
              </w:rPr>
              <w:t>NCIS上报汇总</w:t>
            </w:r>
          </w:p>
          <w:p w14:paraId="048F7459">
            <w:pPr>
              <w:pStyle w:val="2"/>
              <w:rPr>
                <w:rFonts w:hint="eastAsia"/>
              </w:rPr>
            </w:pPr>
          </w:p>
          <w:p w14:paraId="7EAE967D">
            <w:pPr>
              <w:spacing w:after="120" w:line="240" w:lineRule="auto"/>
              <w:jc w:val="left"/>
              <w:rPr>
                <w:rFonts w:ascii="华文仿宋" w:hAnsi="华文仿宋" w:eastAsia="华文仿宋" w:cs="仿宋"/>
                <w:szCs w:val="21"/>
              </w:rPr>
            </w:pPr>
            <w:r>
              <w:rPr>
                <w:rFonts w:hint="eastAsia" w:ascii="华文仿宋" w:hAnsi="华文仿宋" w:eastAsia="华文仿宋" w:cs="仿宋"/>
                <w:szCs w:val="21"/>
              </w:rPr>
              <w:t>V</w:t>
            </w:r>
            <w:r>
              <w:rPr>
                <w:rFonts w:ascii="华文仿宋" w:hAnsi="华文仿宋" w:eastAsia="华文仿宋" w:cs="仿宋"/>
                <w:szCs w:val="21"/>
              </w:rPr>
              <w:t>TE</w:t>
            </w:r>
            <w:r>
              <w:rPr>
                <w:rFonts w:hint="eastAsia" w:ascii="华文仿宋" w:hAnsi="华文仿宋" w:eastAsia="华文仿宋" w:cs="仿宋"/>
                <w:szCs w:val="21"/>
              </w:rPr>
              <w:t>相关不良事件上报</w:t>
            </w:r>
          </w:p>
          <w:p w14:paraId="31E1AFBB">
            <w:pPr>
              <w:pStyle w:val="2"/>
              <w:rPr>
                <w:rFonts w:hint="eastAsia"/>
              </w:rPr>
            </w:pPr>
          </w:p>
          <w:p w14:paraId="7B864081">
            <w:pPr>
              <w:spacing w:after="120" w:line="240" w:lineRule="auto"/>
              <w:jc w:val="left"/>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医院等级评审相关数据汇总</w:t>
            </w:r>
          </w:p>
          <w:p w14:paraId="11475096">
            <w:pPr>
              <w:pStyle w:val="2"/>
              <w:rPr>
                <w:rFonts w:hint="eastAsia"/>
              </w:rPr>
            </w:pPr>
          </w:p>
          <w:p w14:paraId="101F61E9">
            <w:pPr>
              <w:spacing w:after="120" w:line="240" w:lineRule="auto"/>
              <w:jc w:val="left"/>
              <w:rPr>
                <w:rFonts w:ascii="华文仿宋" w:hAnsi="华文仿宋" w:eastAsia="华文仿宋" w:cs="宋体"/>
                <w:color w:val="000000"/>
                <w:kern w:val="0"/>
                <w:szCs w:val="21"/>
              </w:rPr>
            </w:pPr>
            <w:r>
              <w:rPr>
                <w:rFonts w:ascii="华文仿宋" w:hAnsi="华文仿宋" w:eastAsia="华文仿宋" w:cs="宋体"/>
                <w:color w:val="000000"/>
                <w:kern w:val="0"/>
                <w:szCs w:val="21"/>
              </w:rPr>
              <w:t>VTE</w:t>
            </w:r>
            <w:r>
              <w:rPr>
                <w:rFonts w:hint="eastAsia" w:ascii="华文仿宋" w:hAnsi="华文仿宋" w:eastAsia="华文仿宋" w:cs="宋体"/>
                <w:color w:val="000000"/>
                <w:kern w:val="0"/>
                <w:szCs w:val="21"/>
              </w:rPr>
              <w:t>项目办评审相关数据汇总</w:t>
            </w:r>
          </w:p>
          <w:p w14:paraId="214EF0FB">
            <w:pPr>
              <w:spacing w:after="120" w:line="240" w:lineRule="auto"/>
              <w:jc w:val="left"/>
              <w:rPr>
                <w:rFonts w:ascii="华文仿宋" w:hAnsi="华文仿宋" w:eastAsia="华文仿宋" w:cs="宋体"/>
                <w:color w:val="000000"/>
                <w:kern w:val="0"/>
                <w:szCs w:val="21"/>
              </w:rPr>
            </w:pPr>
          </w:p>
        </w:tc>
        <w:tc>
          <w:tcPr>
            <w:tcW w:w="4310" w:type="dxa"/>
          </w:tcPr>
          <w:p w14:paraId="34BB0E45">
            <w:pPr>
              <w:widowControl/>
              <w:spacing w:line="240" w:lineRule="auto"/>
              <w:jc w:val="center"/>
              <w:rPr>
                <w:rFonts w:ascii="华文仿宋" w:hAnsi="华文仿宋" w:eastAsia="华文仿宋" w:cs="宋体"/>
                <w:color w:val="000000"/>
                <w:kern w:val="0"/>
                <w:szCs w:val="21"/>
              </w:rPr>
            </w:pPr>
            <w:r>
              <w:rPr>
                <w:rFonts w:hint="eastAsia" w:ascii="华文仿宋" w:hAnsi="华文仿宋" w:eastAsia="华文仿宋" w:cs="宋体"/>
                <w:color w:val="000000"/>
                <w:kern w:val="0"/>
                <w:szCs w:val="21"/>
              </w:rPr>
              <w:t>可按照NCIS（国家医疗质量管理与控制信息网）全国医疗质量抽样调查表的要求导出和VTE有关的数据，方便医院上报数据。可按照《全国肺栓塞和深静脉血栓形成防治能力建设项目》对已通过评审医院上报数据的要求，归集相关数据形成可上报的数据集。系统可自动定期归集包括PE、DVT、围手术期和房颤等国家要求的VTE相关单病种的统计数据，形成标注的数据集，方便医院上报到国家单病种质量管理与控制平台。提供vte相关不良事件的汇总统计上报功能</w:t>
            </w:r>
          </w:p>
          <w:p w14:paraId="705A62C4">
            <w:pPr>
              <w:pStyle w:val="2"/>
              <w:rPr>
                <w:rFonts w:ascii="华文仿宋" w:hAnsi="华文仿宋" w:eastAsia="华文仿宋"/>
              </w:rPr>
            </w:pPr>
            <w:r>
              <w:rPr>
                <w:rFonts w:hint="eastAsia" w:ascii="华文仿宋" w:hAnsi="华文仿宋" w:eastAsia="华文仿宋"/>
              </w:rPr>
              <w:t>提供医院等级评审vte相关和项目办评审相关的数据汇总和导出功能</w:t>
            </w:r>
          </w:p>
        </w:tc>
      </w:tr>
    </w:tbl>
    <w:p w14:paraId="00FEF30C">
      <w:pPr>
        <w:pStyle w:val="2"/>
        <w:numPr>
          <w:ilvl w:val="0"/>
          <w:numId w:val="0"/>
        </w:numPr>
      </w:pPr>
    </w:p>
    <w:p w14:paraId="73199D7E">
      <w:pPr>
        <w:bidi w:val="0"/>
      </w:pPr>
    </w:p>
    <w:bookmarkEnd w:id="0"/>
    <w:p w14:paraId="6B6B60A5">
      <w:pPr>
        <w:rPr>
          <w:rFonts w:ascii="宋体" w:hAnsi="宋体"/>
          <w:b/>
          <w:sz w:val="24"/>
        </w:rPr>
      </w:pPr>
    </w:p>
    <w:p w14:paraId="489DE51A">
      <w:pPr>
        <w:rPr>
          <w:rFonts w:hint="eastAsia" w:ascii="宋体" w:hAnsi="宋体"/>
          <w:b/>
          <w:sz w:val="24"/>
        </w:rPr>
      </w:pPr>
    </w:p>
    <w:p w14:paraId="1ADF9AF5">
      <w:pPr>
        <w:rPr>
          <w:rFonts w:hint="eastAsia" w:ascii="宋体" w:hAnsi="宋体"/>
          <w:b/>
          <w:sz w:val="24"/>
        </w:rPr>
      </w:pPr>
    </w:p>
    <w:p w14:paraId="17A30CA6">
      <w:pPr>
        <w:rPr>
          <w:rFonts w:hint="eastAsia" w:ascii="宋体" w:hAnsi="宋体"/>
          <w:b/>
          <w:sz w:val="24"/>
        </w:rPr>
      </w:pPr>
    </w:p>
    <w:p w14:paraId="29018444"/>
    <w:sectPr>
      <w:pgSz w:w="11906" w:h="16838"/>
      <w:pgMar w:top="1134" w:right="1134" w:bottom="1134" w:left="1134" w:header="851"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07DFE5E-86DC-4205-94C6-8A7339C71DD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embedRegular r:id="rId2" w:fontKey="{DC86000F-F731-4D5F-B7C6-560C9A47C4B7}"/>
  </w:font>
  <w:font w:name="楷体_GB2312">
    <w:panose1 w:val="02010609030101010101"/>
    <w:charset w:val="86"/>
    <w:family w:val="modern"/>
    <w:pitch w:val="default"/>
    <w:sig w:usb0="00000001" w:usb1="080E0000" w:usb2="00000000" w:usb3="00000000" w:csb0="00040000" w:csb1="00000000"/>
    <w:embedRegular r:id="rId3" w:fontKey="{EFA9C92F-744B-453C-83DF-8E13E43AABA5}"/>
  </w:font>
  <w:font w:name="仿宋">
    <w:panose1 w:val="02010609060101010101"/>
    <w:charset w:val="86"/>
    <w:family w:val="modern"/>
    <w:pitch w:val="default"/>
    <w:sig w:usb0="800002BF" w:usb1="38CF7CFA" w:usb2="00000016" w:usb3="00000000" w:csb0="00040001" w:csb1="00000000"/>
    <w:embedRegular r:id="rId4" w:fontKey="{A52ABCC0-257F-422B-B943-6146C5217F3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188B7C"/>
    <w:multiLevelType w:val="singleLevel"/>
    <w:tmpl w:val="0A188B7C"/>
    <w:lvl w:ilvl="0" w:tentative="0">
      <w:start w:val="2"/>
      <w:numFmt w:val="chineseCounting"/>
      <w:suff w:val="nothing"/>
      <w:lvlText w:val="（%1）"/>
      <w:lvlJc w:val="left"/>
      <w:rPr>
        <w:rFonts w:hint="eastAsia"/>
      </w:rPr>
    </w:lvl>
  </w:abstractNum>
  <w:abstractNum w:abstractNumId="1">
    <w:nsid w:val="47F66C00"/>
    <w:multiLevelType w:val="multilevel"/>
    <w:tmpl w:val="47F66C00"/>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NGIxNmZlNGFkYTJiNmFkNDZmMjhiMTJkM2NiNjgifQ=="/>
  </w:docVars>
  <w:rsids>
    <w:rsidRoot w:val="00160FDD"/>
    <w:rsid w:val="00160FDD"/>
    <w:rsid w:val="0024425C"/>
    <w:rsid w:val="00261151"/>
    <w:rsid w:val="00347134"/>
    <w:rsid w:val="003D0056"/>
    <w:rsid w:val="003D2FBE"/>
    <w:rsid w:val="005E4F29"/>
    <w:rsid w:val="00634059"/>
    <w:rsid w:val="006B0F4F"/>
    <w:rsid w:val="007B0456"/>
    <w:rsid w:val="0081291C"/>
    <w:rsid w:val="00B73BF7"/>
    <w:rsid w:val="00BB556E"/>
    <w:rsid w:val="00CD2882"/>
    <w:rsid w:val="00D42F31"/>
    <w:rsid w:val="00F74DAF"/>
    <w:rsid w:val="00FA4A26"/>
    <w:rsid w:val="02447348"/>
    <w:rsid w:val="02A40DB6"/>
    <w:rsid w:val="083C7992"/>
    <w:rsid w:val="0E3E79DA"/>
    <w:rsid w:val="0ED35977"/>
    <w:rsid w:val="0EDF62AE"/>
    <w:rsid w:val="0F533938"/>
    <w:rsid w:val="116E61A6"/>
    <w:rsid w:val="11B85DC5"/>
    <w:rsid w:val="13427323"/>
    <w:rsid w:val="146C3610"/>
    <w:rsid w:val="16387403"/>
    <w:rsid w:val="16B75A63"/>
    <w:rsid w:val="1A95222B"/>
    <w:rsid w:val="1BC7001F"/>
    <w:rsid w:val="1CCB1E4B"/>
    <w:rsid w:val="1E2E7514"/>
    <w:rsid w:val="1EEE084B"/>
    <w:rsid w:val="1FE328D0"/>
    <w:rsid w:val="20932201"/>
    <w:rsid w:val="21C328F3"/>
    <w:rsid w:val="23A31F79"/>
    <w:rsid w:val="23AA4BFC"/>
    <w:rsid w:val="25C0407C"/>
    <w:rsid w:val="275A639C"/>
    <w:rsid w:val="29BF6B0B"/>
    <w:rsid w:val="29C27A8F"/>
    <w:rsid w:val="2C044B47"/>
    <w:rsid w:val="2C8B24E5"/>
    <w:rsid w:val="2D95387C"/>
    <w:rsid w:val="2E243531"/>
    <w:rsid w:val="2FEF2B33"/>
    <w:rsid w:val="318F4123"/>
    <w:rsid w:val="31B532CD"/>
    <w:rsid w:val="33720153"/>
    <w:rsid w:val="351242EC"/>
    <w:rsid w:val="361A26D3"/>
    <w:rsid w:val="39661E3A"/>
    <w:rsid w:val="3A183E5C"/>
    <w:rsid w:val="3BAC4273"/>
    <w:rsid w:val="3C153CA2"/>
    <w:rsid w:val="43B01E5E"/>
    <w:rsid w:val="46AC3995"/>
    <w:rsid w:val="49433FBF"/>
    <w:rsid w:val="4B3E0902"/>
    <w:rsid w:val="4B57584C"/>
    <w:rsid w:val="4C7E4846"/>
    <w:rsid w:val="4F840281"/>
    <w:rsid w:val="52D43E71"/>
    <w:rsid w:val="57FB1BE5"/>
    <w:rsid w:val="5B96494F"/>
    <w:rsid w:val="6061582C"/>
    <w:rsid w:val="620852F1"/>
    <w:rsid w:val="627326A9"/>
    <w:rsid w:val="62A80F69"/>
    <w:rsid w:val="652512FD"/>
    <w:rsid w:val="677C6BE0"/>
    <w:rsid w:val="68BA171A"/>
    <w:rsid w:val="70974A6A"/>
    <w:rsid w:val="73897499"/>
    <w:rsid w:val="74195AB4"/>
    <w:rsid w:val="75A820A3"/>
    <w:rsid w:val="7AAF5FD7"/>
    <w:rsid w:val="7AF32905"/>
    <w:rsid w:val="7C62341F"/>
    <w:rsid w:val="7CE959B0"/>
    <w:rsid w:val="7FE2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3"/>
    <w:basedOn w:val="1"/>
    <w:qFormat/>
    <w:uiPriority w:val="0"/>
    <w:pPr>
      <w:spacing w:after="120"/>
    </w:pPr>
    <w:rPr>
      <w:sz w:val="16"/>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21"/>
    <w:uiPriority w:val="0"/>
    <w:rPr>
      <w:rFonts w:ascii="宋体" w:hAnsi="宋体" w:eastAsia="宋体" w:cs="宋体"/>
      <w:color w:val="000000"/>
      <w:sz w:val="28"/>
      <w:szCs w:val="28"/>
      <w:u w:val="none"/>
    </w:rPr>
  </w:style>
  <w:style w:type="character" w:customStyle="1" w:styleId="8">
    <w:name w:val="font11"/>
    <w:qFormat/>
    <w:uiPriority w:val="0"/>
    <w:rPr>
      <w:rFonts w:hint="eastAsia" w:ascii="宋体" w:hAnsi="宋体" w:eastAsia="宋体" w:cs="宋体"/>
      <w:color w:val="000000"/>
      <w:sz w:val="28"/>
      <w:szCs w:val="28"/>
      <w:u w:val="none"/>
    </w:rPr>
  </w:style>
  <w:style w:type="paragraph" w:customStyle="1" w:styleId="9">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2469</Words>
  <Characters>2637</Characters>
  <Lines>6</Lines>
  <Paragraphs>1</Paragraphs>
  <TotalTime>13</TotalTime>
  <ScaleCrop>false</ScaleCrop>
  <LinksUpToDate>false</LinksUpToDate>
  <CharactersWithSpaces>2639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2026-04-10T09:20:00Z</dcterms:created>
  <dc:creator>Administrator</dc:creator>
  <cp:lastModifiedBy>细嗅蔷薇--萝卜</cp:lastModifiedBy>
  <dcterms:modified xsi:type="dcterms:W3CDTF">2026-05-14T07:56:15Z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07700AA6CA2A48A4918795CAE9ACDD08_13</vt:lpwstr>
  </property>
</Properties>
</file>